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A931DA" w:rsidRPr="00A931DA" w:rsidTr="00A931DA">
        <w:trPr>
          <w:tblCellSpacing w:w="0" w:type="dxa"/>
        </w:trPr>
        <w:tc>
          <w:tcPr>
            <w:tcW w:w="3348" w:type="dxa"/>
            <w:shd w:val="clear" w:color="auto" w:fill="FFFFFF"/>
            <w:tcMar>
              <w:top w:w="0" w:type="dxa"/>
              <w:left w:w="108" w:type="dxa"/>
              <w:bottom w:w="0" w:type="dxa"/>
              <w:right w:w="108" w:type="dxa"/>
            </w:tcMar>
            <w:hideMark/>
          </w:tcPr>
          <w:p w:rsidR="00A931DA" w:rsidRPr="00A931DA" w:rsidRDefault="00A931DA" w:rsidP="00A931DA">
            <w:pPr>
              <w:spacing w:before="120" w:after="120" w:line="234" w:lineRule="atLeast"/>
              <w:jc w:val="center"/>
              <w:rPr>
                <w:rFonts w:eastAsia="Times New Roman" w:cs="Times New Roman"/>
                <w:color w:val="000000"/>
                <w:szCs w:val="28"/>
              </w:rPr>
            </w:pPr>
            <w:r w:rsidRPr="00A931DA">
              <w:rPr>
                <w:rFonts w:eastAsia="Times New Roman" w:cs="Times New Roman"/>
                <w:b/>
                <w:bCs/>
                <w:color w:val="000000"/>
                <w:szCs w:val="28"/>
              </w:rPr>
              <w:t>BỘ Y TẾ</w:t>
            </w:r>
            <w:r w:rsidRPr="00A931DA">
              <w:rPr>
                <w:rFonts w:eastAsia="Times New Roman" w:cs="Times New Roman"/>
                <w:b/>
                <w:bCs/>
                <w:color w:val="000000"/>
                <w:szCs w:val="28"/>
              </w:rPr>
              <w:br/>
              <w:t>--------</w:t>
            </w:r>
          </w:p>
        </w:tc>
        <w:tc>
          <w:tcPr>
            <w:tcW w:w="5508" w:type="dxa"/>
            <w:shd w:val="clear" w:color="auto" w:fill="FFFFFF"/>
            <w:tcMar>
              <w:top w:w="0" w:type="dxa"/>
              <w:left w:w="108" w:type="dxa"/>
              <w:bottom w:w="0" w:type="dxa"/>
              <w:right w:w="108" w:type="dxa"/>
            </w:tcMar>
            <w:hideMark/>
          </w:tcPr>
          <w:p w:rsidR="00A931DA" w:rsidRPr="00A931DA" w:rsidRDefault="00A931DA" w:rsidP="00A931DA">
            <w:pPr>
              <w:spacing w:before="120" w:after="120" w:line="234" w:lineRule="atLeast"/>
              <w:jc w:val="center"/>
              <w:rPr>
                <w:rFonts w:eastAsia="Times New Roman" w:cs="Times New Roman"/>
                <w:color w:val="000000"/>
                <w:szCs w:val="28"/>
              </w:rPr>
            </w:pPr>
            <w:r w:rsidRPr="00A931DA">
              <w:rPr>
                <w:rFonts w:eastAsia="Times New Roman" w:cs="Times New Roman"/>
                <w:b/>
                <w:bCs/>
                <w:color w:val="000000"/>
                <w:szCs w:val="28"/>
              </w:rPr>
              <w:t>CỘNG HÒA XÃ HỘI CHỦ NGHĨA VIỆT NAM</w:t>
            </w:r>
            <w:r w:rsidRPr="00A931DA">
              <w:rPr>
                <w:rFonts w:eastAsia="Times New Roman" w:cs="Times New Roman"/>
                <w:b/>
                <w:bCs/>
                <w:color w:val="000000"/>
                <w:szCs w:val="28"/>
              </w:rPr>
              <w:br/>
              <w:t>Độc lập - Tự do - Hạnh phúc </w:t>
            </w:r>
            <w:r w:rsidRPr="00A931DA">
              <w:rPr>
                <w:rFonts w:eastAsia="Times New Roman" w:cs="Times New Roman"/>
                <w:b/>
                <w:bCs/>
                <w:color w:val="000000"/>
                <w:szCs w:val="28"/>
              </w:rPr>
              <w:br/>
              <w:t>---------------</w:t>
            </w:r>
          </w:p>
        </w:tc>
      </w:tr>
      <w:tr w:rsidR="00A931DA" w:rsidRPr="00A931DA" w:rsidTr="00A931DA">
        <w:trPr>
          <w:tblCellSpacing w:w="0" w:type="dxa"/>
        </w:trPr>
        <w:tc>
          <w:tcPr>
            <w:tcW w:w="3348" w:type="dxa"/>
            <w:shd w:val="clear" w:color="auto" w:fill="FFFFFF"/>
            <w:tcMar>
              <w:top w:w="0" w:type="dxa"/>
              <w:left w:w="108" w:type="dxa"/>
              <w:bottom w:w="0" w:type="dxa"/>
              <w:right w:w="108" w:type="dxa"/>
            </w:tcMar>
            <w:hideMark/>
          </w:tcPr>
          <w:p w:rsidR="00A931DA" w:rsidRPr="00A931DA" w:rsidRDefault="00A931DA" w:rsidP="00A931DA">
            <w:pPr>
              <w:spacing w:before="120" w:after="120" w:line="234" w:lineRule="atLeast"/>
              <w:jc w:val="center"/>
              <w:rPr>
                <w:rFonts w:eastAsia="Times New Roman" w:cs="Times New Roman"/>
                <w:color w:val="000000"/>
                <w:szCs w:val="28"/>
              </w:rPr>
            </w:pPr>
            <w:r w:rsidRPr="00A931DA">
              <w:rPr>
                <w:rFonts w:eastAsia="Times New Roman" w:cs="Times New Roman"/>
                <w:color w:val="000000"/>
                <w:szCs w:val="28"/>
              </w:rPr>
              <w:t>Số: 07/2014/TT-BYT</w:t>
            </w:r>
          </w:p>
        </w:tc>
        <w:tc>
          <w:tcPr>
            <w:tcW w:w="5508" w:type="dxa"/>
            <w:shd w:val="clear" w:color="auto" w:fill="FFFFFF"/>
            <w:tcMar>
              <w:top w:w="0" w:type="dxa"/>
              <w:left w:w="108" w:type="dxa"/>
              <w:bottom w:w="0" w:type="dxa"/>
              <w:right w:w="108" w:type="dxa"/>
            </w:tcMar>
            <w:hideMark/>
          </w:tcPr>
          <w:p w:rsidR="00A931DA" w:rsidRPr="00A931DA" w:rsidRDefault="00A931DA" w:rsidP="00A931DA">
            <w:pPr>
              <w:spacing w:before="120" w:after="120" w:line="234" w:lineRule="atLeast"/>
              <w:jc w:val="right"/>
              <w:rPr>
                <w:rFonts w:eastAsia="Times New Roman" w:cs="Times New Roman"/>
                <w:color w:val="000000"/>
                <w:szCs w:val="28"/>
              </w:rPr>
            </w:pPr>
            <w:r w:rsidRPr="00A931DA">
              <w:rPr>
                <w:rFonts w:eastAsia="Times New Roman" w:cs="Times New Roman"/>
                <w:i/>
                <w:iCs/>
                <w:color w:val="000000"/>
                <w:szCs w:val="28"/>
              </w:rPr>
              <w:t>Hà Nội, ngày 25 tháng 02 năm 2014</w:t>
            </w:r>
          </w:p>
        </w:tc>
      </w:tr>
    </w:tbl>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 </w:t>
      </w:r>
    </w:p>
    <w:p w:rsidR="00A931DA" w:rsidRPr="00A931DA" w:rsidRDefault="00A931DA" w:rsidP="00A931DA">
      <w:pPr>
        <w:shd w:val="clear" w:color="auto" w:fill="FFFFFF"/>
        <w:spacing w:after="0" w:line="234" w:lineRule="atLeast"/>
        <w:jc w:val="center"/>
        <w:rPr>
          <w:rFonts w:eastAsia="Times New Roman" w:cs="Times New Roman"/>
          <w:color w:val="000000"/>
          <w:szCs w:val="28"/>
        </w:rPr>
      </w:pPr>
      <w:bookmarkStart w:id="0" w:name="loai_1"/>
      <w:r w:rsidRPr="00A931DA">
        <w:rPr>
          <w:rFonts w:eastAsia="Times New Roman" w:cs="Times New Roman"/>
          <w:b/>
          <w:bCs/>
          <w:color w:val="000000"/>
          <w:szCs w:val="28"/>
        </w:rPr>
        <w:t>THÔNG TƯ</w:t>
      </w:r>
      <w:bookmarkEnd w:id="0"/>
    </w:p>
    <w:p w:rsidR="00A931DA" w:rsidRPr="00A931DA" w:rsidRDefault="00A931DA" w:rsidP="00A931DA">
      <w:pPr>
        <w:shd w:val="clear" w:color="auto" w:fill="FFFFFF"/>
        <w:spacing w:after="0" w:line="234" w:lineRule="atLeast"/>
        <w:jc w:val="center"/>
        <w:rPr>
          <w:rFonts w:eastAsia="Times New Roman" w:cs="Times New Roman"/>
          <w:color w:val="000000"/>
          <w:szCs w:val="28"/>
        </w:rPr>
      </w:pPr>
      <w:bookmarkStart w:id="1" w:name="loai_1_name"/>
      <w:r w:rsidRPr="00A931DA">
        <w:rPr>
          <w:rFonts w:eastAsia="Times New Roman" w:cs="Times New Roman"/>
          <w:color w:val="000000"/>
          <w:szCs w:val="28"/>
        </w:rPr>
        <w:t>QUY ĐỊNH VỀ QUY TẮC ỨNG XỬ CỦA CÔNG CHỨC, VIÊN CHỨC, NGƯỜI LAO ĐỘNG LÀM VIỆC TẠI CÁC CƠ SỞ Y TẾ</w:t>
      </w:r>
      <w:bookmarkEnd w:id="1"/>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i/>
          <w:iCs/>
          <w:color w:val="000000"/>
          <w:szCs w:val="28"/>
        </w:rPr>
        <w:t>Căn cứ Luật cán bộ, công chức số 22/2008/QH12 ngày 13 tháng 11 năm 2008;</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i/>
          <w:iCs/>
          <w:color w:val="000000"/>
          <w:szCs w:val="28"/>
        </w:rPr>
        <w:t>Căn cứ Luật viên chức số 58/2010/QH12 ngày 15 tháng 11 năm 2010;</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i/>
          <w:iCs/>
          <w:color w:val="000000"/>
          <w:szCs w:val="28"/>
        </w:rPr>
        <w:t>Căn cứ Luật phòng, chống tham nhũng số 55/2005/QH11 ngày 09 tháng 12 năm 2005;</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i/>
          <w:iCs/>
          <w:color w:val="000000"/>
          <w:szCs w:val="28"/>
        </w:rPr>
        <w:t>Căn cứ Luật khám bệnh, chữa bệnh số 40/2009/QH12 ngày 23 tháng 11 năm 2009;</w:t>
      </w:r>
    </w:p>
    <w:p w:rsidR="00A931DA" w:rsidRPr="00A931DA" w:rsidRDefault="00A931DA" w:rsidP="00A931DA">
      <w:pPr>
        <w:shd w:val="clear" w:color="auto" w:fill="FFFFFF"/>
        <w:spacing w:after="0" w:line="234" w:lineRule="atLeast"/>
        <w:rPr>
          <w:rFonts w:eastAsia="Times New Roman" w:cs="Times New Roman"/>
          <w:color w:val="000000"/>
          <w:szCs w:val="28"/>
        </w:rPr>
      </w:pPr>
      <w:r w:rsidRPr="00A931DA">
        <w:rPr>
          <w:rFonts w:eastAsia="Times New Roman" w:cs="Times New Roman"/>
          <w:i/>
          <w:iCs/>
          <w:color w:val="000000"/>
          <w:szCs w:val="28"/>
        </w:rPr>
        <w:t>Căn cứ Nghị định số </w:t>
      </w:r>
      <w:hyperlink r:id="rId4" w:tgtFrame="_blank" w:tooltip="Nghị định 63/2012/NĐ-CP" w:history="1">
        <w:r w:rsidRPr="00A931DA">
          <w:rPr>
            <w:rFonts w:eastAsia="Times New Roman" w:cs="Times New Roman"/>
            <w:i/>
            <w:iCs/>
            <w:color w:val="0E70C3"/>
            <w:szCs w:val="28"/>
          </w:rPr>
          <w:t>63/2012/NĐ-CP</w:t>
        </w:r>
      </w:hyperlink>
      <w:r w:rsidRPr="00A931DA">
        <w:rPr>
          <w:rFonts w:eastAsia="Times New Roman" w:cs="Times New Roman"/>
          <w:i/>
          <w:iCs/>
          <w:color w:val="000000"/>
          <w:szCs w:val="28"/>
        </w:rPr>
        <w:t> ngày 31 tháng 8 năm 2012 của Chính phủ quy định chức năng, nhiệm vụ, quyền hạn và cơ cấu tổ chức của Bộ Y tế;</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i/>
          <w:iCs/>
          <w:color w:val="000000"/>
          <w:szCs w:val="28"/>
        </w:rPr>
        <w:t>Theo đề nghị của Vụ trưởng Vụ Tổ chức cán bộ - Bộ Y tế;</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i/>
          <w:iCs/>
          <w:color w:val="000000"/>
          <w:szCs w:val="28"/>
        </w:rPr>
        <w:t>Bộ trưởng Bộ Y tế ban hành Thông tư quy định về Quy tắc ứng xử của công chức, viên chức, người lao động làm việc tại các cơ sở y tế.</w:t>
      </w:r>
    </w:p>
    <w:p w:rsidR="00A931DA" w:rsidRPr="00A931DA" w:rsidRDefault="00A931DA" w:rsidP="00A931DA">
      <w:pPr>
        <w:shd w:val="clear" w:color="auto" w:fill="FFFFFF"/>
        <w:spacing w:after="0" w:line="234" w:lineRule="atLeast"/>
        <w:rPr>
          <w:rFonts w:eastAsia="Times New Roman" w:cs="Times New Roman"/>
          <w:color w:val="000000"/>
          <w:szCs w:val="28"/>
        </w:rPr>
      </w:pPr>
      <w:bookmarkStart w:id="2" w:name="chuong_1"/>
      <w:r w:rsidRPr="00A931DA">
        <w:rPr>
          <w:rFonts w:eastAsia="Times New Roman" w:cs="Times New Roman"/>
          <w:b/>
          <w:bCs/>
          <w:color w:val="000000"/>
          <w:szCs w:val="28"/>
        </w:rPr>
        <w:t>Chương I</w:t>
      </w:r>
      <w:bookmarkEnd w:id="2"/>
    </w:p>
    <w:p w:rsidR="00A931DA" w:rsidRPr="00A931DA" w:rsidRDefault="00A931DA" w:rsidP="00A931DA">
      <w:pPr>
        <w:shd w:val="clear" w:color="auto" w:fill="FFFFFF"/>
        <w:spacing w:after="0" w:line="234" w:lineRule="atLeast"/>
        <w:jc w:val="center"/>
        <w:rPr>
          <w:rFonts w:eastAsia="Times New Roman" w:cs="Times New Roman"/>
          <w:color w:val="000000"/>
          <w:szCs w:val="28"/>
        </w:rPr>
      </w:pPr>
      <w:bookmarkStart w:id="3" w:name="chuong_1_name"/>
      <w:r w:rsidRPr="00A931DA">
        <w:rPr>
          <w:rFonts w:eastAsia="Times New Roman" w:cs="Times New Roman"/>
          <w:b/>
          <w:bCs/>
          <w:color w:val="000000"/>
          <w:szCs w:val="28"/>
        </w:rPr>
        <w:t>QUY ĐỊNH CHUNG</w:t>
      </w:r>
      <w:bookmarkEnd w:id="3"/>
    </w:p>
    <w:p w:rsidR="00A931DA" w:rsidRPr="00A931DA" w:rsidRDefault="00A931DA" w:rsidP="00A931DA">
      <w:pPr>
        <w:shd w:val="clear" w:color="auto" w:fill="FFFFFF"/>
        <w:spacing w:after="0" w:line="234" w:lineRule="atLeast"/>
        <w:rPr>
          <w:rFonts w:eastAsia="Times New Roman" w:cs="Times New Roman"/>
          <w:color w:val="000000"/>
          <w:szCs w:val="28"/>
        </w:rPr>
      </w:pPr>
      <w:bookmarkStart w:id="4" w:name="dieu_1"/>
      <w:r w:rsidRPr="00A931DA">
        <w:rPr>
          <w:rFonts w:eastAsia="Times New Roman" w:cs="Times New Roman"/>
          <w:b/>
          <w:bCs/>
          <w:color w:val="000000"/>
          <w:szCs w:val="28"/>
        </w:rPr>
        <w:t>Điều 1. Phạm vi điều chỉnh</w:t>
      </w:r>
      <w:bookmarkEnd w:id="4"/>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Thông tư này quy định nội dung Quy tắc ứng xử của công chức, viên chức, người lao động làm việc tại các cơ sở y tế và trách nhiệm tổ chức thực hiện của cơ quan, tổ chức, cá nhân có liên quan.</w:t>
      </w:r>
    </w:p>
    <w:p w:rsidR="00A931DA" w:rsidRPr="00A931DA" w:rsidRDefault="00A931DA" w:rsidP="00A931DA">
      <w:pPr>
        <w:shd w:val="clear" w:color="auto" w:fill="FFFFFF"/>
        <w:spacing w:after="0" w:line="234" w:lineRule="atLeast"/>
        <w:rPr>
          <w:rFonts w:eastAsia="Times New Roman" w:cs="Times New Roman"/>
          <w:color w:val="000000"/>
          <w:szCs w:val="28"/>
        </w:rPr>
      </w:pPr>
      <w:bookmarkStart w:id="5" w:name="dieu_2"/>
      <w:r w:rsidRPr="00A931DA">
        <w:rPr>
          <w:rFonts w:eastAsia="Times New Roman" w:cs="Times New Roman"/>
          <w:b/>
          <w:bCs/>
          <w:color w:val="000000"/>
          <w:szCs w:val="28"/>
        </w:rPr>
        <w:t>Điều 2. Đối tượng áp dụng</w:t>
      </w:r>
      <w:bookmarkEnd w:id="5"/>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Thông tư này áp dụng đối với:</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1. Công chức, viên chức và người lao động làm việc tại các cơ sở y tế trong toàn quốc (sau đây gọi chung là công chức, viên chức y tế).</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2. Cơ quan, tổ chức, cá nhân có liên quan đến việc thực hiện Quy tắc ứng xử của công chức, viên chức y tế.</w:t>
      </w:r>
    </w:p>
    <w:p w:rsidR="00A931DA" w:rsidRPr="00A931DA" w:rsidRDefault="00A931DA" w:rsidP="00A931DA">
      <w:pPr>
        <w:shd w:val="clear" w:color="auto" w:fill="FFFFFF"/>
        <w:spacing w:after="0" w:line="234" w:lineRule="atLeast"/>
        <w:rPr>
          <w:rFonts w:eastAsia="Times New Roman" w:cs="Times New Roman"/>
          <w:color w:val="000000"/>
          <w:szCs w:val="28"/>
        </w:rPr>
      </w:pPr>
      <w:bookmarkStart w:id="6" w:name="chuong_2"/>
      <w:r w:rsidRPr="00A931DA">
        <w:rPr>
          <w:rFonts w:eastAsia="Times New Roman" w:cs="Times New Roman"/>
          <w:b/>
          <w:bCs/>
          <w:color w:val="000000"/>
          <w:szCs w:val="28"/>
        </w:rPr>
        <w:t>Chương II</w:t>
      </w:r>
      <w:bookmarkEnd w:id="6"/>
    </w:p>
    <w:p w:rsidR="00A931DA" w:rsidRPr="00A931DA" w:rsidRDefault="00A931DA" w:rsidP="00A931DA">
      <w:pPr>
        <w:shd w:val="clear" w:color="auto" w:fill="FFFFFF"/>
        <w:spacing w:after="0" w:line="234" w:lineRule="atLeast"/>
        <w:jc w:val="center"/>
        <w:rPr>
          <w:rFonts w:eastAsia="Times New Roman" w:cs="Times New Roman"/>
          <w:color w:val="000000"/>
          <w:szCs w:val="28"/>
        </w:rPr>
      </w:pPr>
      <w:bookmarkStart w:id="7" w:name="chuong_2_name"/>
      <w:r w:rsidRPr="00A931DA">
        <w:rPr>
          <w:rFonts w:eastAsia="Times New Roman" w:cs="Times New Roman"/>
          <w:b/>
          <w:bCs/>
          <w:color w:val="000000"/>
          <w:szCs w:val="28"/>
        </w:rPr>
        <w:t>NỘI DUNG QUY TẮC ỨNG XỬ</w:t>
      </w:r>
      <w:bookmarkEnd w:id="7"/>
    </w:p>
    <w:p w:rsidR="00A931DA" w:rsidRPr="00A931DA" w:rsidRDefault="00A931DA" w:rsidP="00A931DA">
      <w:pPr>
        <w:shd w:val="clear" w:color="auto" w:fill="FFFFFF"/>
        <w:spacing w:after="0" w:line="234" w:lineRule="atLeast"/>
        <w:rPr>
          <w:rFonts w:eastAsia="Times New Roman" w:cs="Times New Roman"/>
          <w:color w:val="000000"/>
          <w:szCs w:val="28"/>
        </w:rPr>
      </w:pPr>
      <w:bookmarkStart w:id="8" w:name="dieu_3"/>
      <w:r w:rsidRPr="00A931DA">
        <w:rPr>
          <w:rFonts w:eastAsia="Times New Roman" w:cs="Times New Roman"/>
          <w:b/>
          <w:bCs/>
          <w:color w:val="000000"/>
          <w:szCs w:val="28"/>
        </w:rPr>
        <w:lastRenderedPageBreak/>
        <w:t>Điều 3. Ứng xử của công chức, viên chức y tế khi thi hành công vụ, nhiệm vụ được giao</w:t>
      </w:r>
      <w:bookmarkEnd w:id="8"/>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1. Những việc phải làm:</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a) Thực hiện nghiêm túc các quy định của pháp luật về nghĩa vụ của công chức, viên chức;</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b) Có đạo đức, nhân cách và lối sống lành mạnh, trong sáng của người thầy thuốc theo quan điểm cần, kiệm, liêm, chính, chí công vô tư;</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c) Có ý thức tổ chức kỷ luật; thực hiện đúng quy trình chuyên môn, nghiệp vụ, nội quy, quy chế làm việc của ngành, của đơn vị;</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d) Học tập thường xuyên nhằm nâng cao trình độ, chuyên môn, nghiệp vụ, đạo đức nghề nghiệp, kỹ năng giao tiếp, ứng xử;</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đ) Phục tùng và chấp hành nhiệm vụ được giao; chủ động, chịu trách nhiệm trong công việc;</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e) Đóng góp ý kiến trong hoạt động, điều hành của đơn vị nhằm bảo đảm thực hiện công vụ, nhiệm vụ được giao đạt hiệu quả;</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g) Giữ uy tín, danh dự cho đơn vị, cho lãnh đạo và đồng nghiệp;</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h) Mặc trang phục, đeo thẻ công chức, viên chức đúng quy định; đeo phù hiệu của các lĩnh vực đã được pháp luật quy định (nếu có).</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2. Những việc không được làm:</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a) Trốn tránh trách nhiệm, thoái thác công việc hoặc nhiệm vụ được giao;</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b) Lạm dụng chức năng, nhiệm vụ, quyền hạn được giao và danh tiếng của cơ quan, đơn vị để giải quyết công việc cá nhân; tự đề cao vai trò của bản thân để vụ lợi;</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c) Phân biệt đối xử về dân tộc, nam nữ, các thành phần xã hội, tín ngưỡng, tôn giáo dưới mọi hình thức.</w:t>
      </w:r>
    </w:p>
    <w:p w:rsidR="00A931DA" w:rsidRPr="00A931DA" w:rsidRDefault="00A931DA" w:rsidP="00A931DA">
      <w:pPr>
        <w:shd w:val="clear" w:color="auto" w:fill="FFFFFF"/>
        <w:spacing w:after="0" w:line="234" w:lineRule="atLeast"/>
        <w:rPr>
          <w:rFonts w:eastAsia="Times New Roman" w:cs="Times New Roman"/>
          <w:color w:val="000000"/>
          <w:szCs w:val="28"/>
        </w:rPr>
      </w:pPr>
      <w:bookmarkStart w:id="9" w:name="dieu_4"/>
      <w:r w:rsidRPr="00A931DA">
        <w:rPr>
          <w:rFonts w:eastAsia="Times New Roman" w:cs="Times New Roman"/>
          <w:b/>
          <w:bCs/>
          <w:color w:val="000000"/>
          <w:szCs w:val="28"/>
        </w:rPr>
        <w:t>Điều 4. Ứng xử của công chức, viên chức y tế đối với đồng nghiệp</w:t>
      </w:r>
      <w:bookmarkEnd w:id="9"/>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1. Những việc phải làm:</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a) Trung thực, chân thành, đoàn kết, có tinh thần hợp tác, chia sẻ trách nhiệm, giúp đỡ lẫn nhau;</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b) Tự phê bình và phê bình khách quan, nghiêm túc, thẳng thắn, mang tính xây dựng;</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c) Tôn trọng và lắng nghe ý kiến của đồng nghiệp; phối hợp, trao đổi kinh nghiệm, học hỏi lẫn nhau trong thi hành công vụ, nhiệm vụ được giao;</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d) Phát hiện công chức, viên chức trong đơn vị thực hiện không nghiêm túc các quy định của pháp luật về nghĩa vụ của công chức, viên chức và phản ánh đến cấp có thẩm quyền, đồng thời chịu trách nhiệm cá nhân về những phản ánh đó.</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lastRenderedPageBreak/>
        <w:t>2. Những việc không được làm:</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a) Né tránh, đẩy trách nhiệm, khuyết điểm của mình cho đồng nghiệp;</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b) Bè phái, chia rẽ nội bộ, cục bộ địa phương.</w:t>
      </w:r>
    </w:p>
    <w:p w:rsidR="00A931DA" w:rsidRPr="00A931DA" w:rsidRDefault="00A931DA" w:rsidP="00A931DA">
      <w:pPr>
        <w:shd w:val="clear" w:color="auto" w:fill="FFFFFF"/>
        <w:spacing w:after="0" w:line="234" w:lineRule="atLeast"/>
        <w:rPr>
          <w:rFonts w:eastAsia="Times New Roman" w:cs="Times New Roman"/>
          <w:color w:val="000000"/>
          <w:szCs w:val="28"/>
        </w:rPr>
      </w:pPr>
      <w:bookmarkStart w:id="10" w:name="dieu_5"/>
      <w:r w:rsidRPr="00A931DA">
        <w:rPr>
          <w:rFonts w:eastAsia="Times New Roman" w:cs="Times New Roman"/>
          <w:b/>
          <w:bCs/>
          <w:color w:val="000000"/>
          <w:szCs w:val="28"/>
        </w:rPr>
        <w:t>Điều 5. Ứng xử của công chức, viên chức y tế đối với cơ quan, tổ chức, cá nhân</w:t>
      </w:r>
      <w:bookmarkEnd w:id="10"/>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1. Những việc phải làm:</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a) Lịch sự, hòa nhã, văn minh khi giao dịch trực tiếp hoặc gián tiếp qua các phương tiện thông tin;</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b) Bảo đảm thông tin trao đổi đúng với nội dung công việc mà cơ quan, tổ chức, công dân cần hướng dẫn, trả lời;</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c) Tuyên truyền, hướng dẫn người dân chấp hành nghiêm nội quy đơn vị, quy trình, quy định về chuyên môn, nghiệp vụ;</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d) Giữ gìn bí mật thông tin liên quan đến bí mật nhà nước, bí mật cơ quan, bí mật cá nhân theo quy định của pháp luật.</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2. Những việc không được làm:</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a) Cửa quyền, hách dịch, sách nhiễu, trì hoãn, thờ ơ, gây khó khăn đối với tổ chức, cá nhân;</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b) Cố ý kéo dài thời gian khi thi hành công vụ, nhiệm vụ liên quan đến cơ quan, tổ chức, cá nhân;</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c) Có thái độ, gợi ý nhận tiền, quà biếu của cơ quan, tổ chức, cá nhân.</w:t>
      </w:r>
    </w:p>
    <w:p w:rsidR="00A931DA" w:rsidRPr="00A931DA" w:rsidRDefault="00A931DA" w:rsidP="00A931DA">
      <w:pPr>
        <w:shd w:val="clear" w:color="auto" w:fill="FFFFFF"/>
        <w:spacing w:after="0" w:line="234" w:lineRule="atLeast"/>
        <w:rPr>
          <w:rFonts w:eastAsia="Times New Roman" w:cs="Times New Roman"/>
          <w:color w:val="000000"/>
          <w:szCs w:val="28"/>
        </w:rPr>
      </w:pPr>
      <w:bookmarkStart w:id="11" w:name="dieu_6"/>
      <w:r w:rsidRPr="00A931DA">
        <w:rPr>
          <w:rFonts w:eastAsia="Times New Roman" w:cs="Times New Roman"/>
          <w:b/>
          <w:bCs/>
          <w:color w:val="000000"/>
          <w:szCs w:val="28"/>
        </w:rPr>
        <w:t>Điều 6. Ứng xử của công chức, viên chức y tế trong các cơ sở khám bệnh, chữa bệnh</w:t>
      </w:r>
      <w:bookmarkEnd w:id="11"/>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1. Thực hiện nghiêm túc 12 Điều y đức ban hành kèm theo Quyết định số 2088/QĐ-BYT ngày 06 tháng 11 năm 1996 của Bộ trưởng Bộ Y tế.</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2. Những việc phải làm đối với người đến khám bệnh:</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a) Niềm nở đón tiếp, tận tình hướng dẫn các thủ tục cần thiết;</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b) Sơ bộ phân loại người bệnh, sắp xếp khám bệnh theo thứ tự và đối tượng ưu tiên theo quy định;</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c) Bảo đảm kín đáo, tôn trọng người bệnh khi khám bệnh; thông báo và giải thích tình hình sức khỏe hay tình trạng bệnh cho người bệnh hoặc người đại diện hợp pháp của người bệnh biết;</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d) Khám bệnh, chỉ định xét nghiệm, kê đơn phù hợp với tình trạng bệnh và khả năng chi trả của người bệnh;</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lastRenderedPageBreak/>
        <w:t>đ) Hướng dẫn, dặn dò người bệnh hoặc người đại diện hợp pháp của người bệnh về sử dụng thuốc theo đơn, chế độ chăm sóc, theo dõi diễn biến bệnh và hẹn khám lại khi cần thiết đối với người bệnh điều trị ngoại trú;</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e) Hỗ trợ người bệnh nhanh chóng hoàn thiện các thủ tục nhập viện khi có chỉ định.</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3. Những việc phải làm đối với người bệnh điều trị nội trú:</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a) Khẩn trương tiếp đón, bố trí giường cho người bệnh, hướng dẫn và giải thích nội quy, quy định của bệnh viện và của khoa;</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b) Thăm khám, tìm hiểu, phát hiện những diễn biến bất thường và giải quyết những nhu cầu cần thiết của người bệnh; giải thích kịp thời những đề nghị, thắc mắc của người bệnh hoặc người đại diện hợp pháp của người bệnh;</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c) Tư vấn giáo dục sức khoẻ và hướng dẫn người bệnh hoặc người đại diện hợp pháp của người bệnh thực hiện chế độ điều trị và chăm sóc;</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d) Giải quyết khẩn trương các yêu cầu chuyên môn; có mặt kịp thời khi người bệnh hoặc người đại diện hợp pháp của người bệnh yêu cầu;</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đ) Đối với người bệnh có chỉ định phẫu thuật phải thông báo, giải thích trước cho người bệnh hoặc người đại diện của người bệnh về tình trạng bệnh, phương pháp phẫu thuật, khả năng rủi ro có thể xảy ra và thực hiện đầy đủ công tác chuẩn bị theo quy định. Phải giải thích rõ lý do cho người bệnh hoặc người đại diện hợp pháp của người bệnh khi phải hoãn hoặc tạm ngừng phẫu thuật.</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4. Những việc phải làm đối với người bệnh ra viện hoặc chuyển tuyến:</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a) Thông báo và dặn dò người bệnh hoặc người đại diện hợp pháp của người bệnh những điều cần thực hiện sau khi ra viện. Trường hợp chuyển tuyến cần giải thích lý do cho người bệnh hoặc người đại diện hợp pháp của người bệnh;</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b) Công khai chi tiết từng khoản chi phí trong phiếu thanh toán giá dịch vụ y tế mà người bệnh phải thanh toán; giải thích đầy đủ khi người bệnh hoặc người đại diện hợp pháp của người bệnh có yêu cầu;</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c) Khẩn trương thực hiện các thủ tục cho người bệnh ra viện hoặc chuyển tuyến theo quy định;</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d) Tiếp thu ý kiến góp ý của người bệnh hoặc người đại diện hợp pháp của người bệnh khi người bệnh ra viện hoặc chuyển tuyến.</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5. Những việc không được làm:</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a) Không tuân thủ quy chế chuyên môn khi thi hành nhiệm vụ;</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b) Lạm dụng nghề nghiệp để thu lợi trong quá trình khám bệnh, chữa bệnh;</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c) Gây khó khăn, thờ ơ đối với người bệnh, người đại diện hợp pháp của người bệnh.</w:t>
      </w:r>
    </w:p>
    <w:p w:rsidR="00A931DA" w:rsidRPr="00A931DA" w:rsidRDefault="00A931DA" w:rsidP="00A931DA">
      <w:pPr>
        <w:shd w:val="clear" w:color="auto" w:fill="FFFFFF"/>
        <w:spacing w:after="0" w:line="234" w:lineRule="atLeast"/>
        <w:rPr>
          <w:rFonts w:eastAsia="Times New Roman" w:cs="Times New Roman"/>
          <w:color w:val="000000"/>
          <w:szCs w:val="28"/>
        </w:rPr>
      </w:pPr>
      <w:bookmarkStart w:id="12" w:name="dieu_7"/>
      <w:r w:rsidRPr="00A931DA">
        <w:rPr>
          <w:rFonts w:eastAsia="Times New Roman" w:cs="Times New Roman"/>
          <w:b/>
          <w:bCs/>
          <w:color w:val="000000"/>
          <w:szCs w:val="28"/>
        </w:rPr>
        <w:t>Điều 7. Ứng xử của lãnh đạo, quản lý cơ sở y tế</w:t>
      </w:r>
      <w:bookmarkEnd w:id="12"/>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lastRenderedPageBreak/>
        <w:t>1. Những việc phải làm:</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a) Phân công công việc cho từng viên chức trong đơn vị công khai, hợp lý, phù hợp với nhiệm vụ và năng lực chuyên môn của từng công chức, viên chức theo quy định của pháp luật;</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b) Đôn đốc, kiểm tra việc thực hiện công vụ, nhiệm vụ, đạo đức nghề nghiệp, giao tiếp ứng xử của công chức, viên chức thuộc thẩm quyền quản lý; khen thưởng kịp thời công chức, viên chức có thành tích, xử lý kỷ luật nghiêm, khách quan đối với công chức, viên chức vi phạm theo quy định của pháp luật;</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c) Nắm chắc nhân thân, tâm tư, nguyện vọng của công chức, viên chức để có cách thức sử dụng, điều hành phù hợp với từng đối tượng nhằm phát huy khả năng, kinh nghiệm, tính sáng tạo, chủ động của từng cá nhân trong việc thực thi công vụ, nhiệm vụ được giao;</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d) Thực hiện Quy chế dân chủ ở cơ sở, tạo điều kiện trong học tập, nâng cao trình độ và phát huy tư duy sáng tạo, sáng kiến của từng công chức, viên chức;</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đ) Tôn trọng, tạo niềm tin cho công chức, viên chức khi giao nhiệm vụ; có kế hoạch theo dõi, kiểm tra, tạo thuận lợi để công chức, viên chức thực hiện tốt nhiệm vụ, công vụ;</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e) Lắng nghe ý kiến phản ánh của công chức, viên chức; bảo vệ danh dự, quyền và lợi ích hợp pháp, chính đáng của công chức, viên chức thuộc đơn vị quản lý;</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g) Xây dựng, giữ gìn sự đoàn kết và môi trường văn hóa trong đơn vị.</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2. Những việc không được làm:</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a) Chuyên quyền, độc đoán, gia trưởng, xem thường cấp dưới, không gương mẫu, nói không đi đôi với làm;</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b) Khen thưởng, xử lý hành vi vi phạm thiếu khách quan;</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c) Cản trở, xử lý không đúng quy trình giải quyết khiếu nại, tố cáo; tiết lộ họ tên, địa chỉ, bút tích hoặc các thông tin khác về người tố cáo;</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d) Những việc liên quan đến sản xuất, kinh doanh, công tác nhân sự quy định tại Luật phòng, chống tham nhũng, Luật thực hành tiết kiệm, chống lãng phí và những việc khác theo quy định của pháp luật và của cơ quan có thẩm quyền ban hành.</w:t>
      </w:r>
    </w:p>
    <w:p w:rsidR="00A931DA" w:rsidRPr="00A931DA" w:rsidRDefault="00A931DA" w:rsidP="00A931DA">
      <w:pPr>
        <w:shd w:val="clear" w:color="auto" w:fill="FFFFFF"/>
        <w:spacing w:after="0" w:line="234" w:lineRule="atLeast"/>
        <w:rPr>
          <w:rFonts w:eastAsia="Times New Roman" w:cs="Times New Roman"/>
          <w:color w:val="000000"/>
          <w:szCs w:val="28"/>
        </w:rPr>
      </w:pPr>
      <w:bookmarkStart w:id="13" w:name="chuong_3"/>
      <w:r w:rsidRPr="00A931DA">
        <w:rPr>
          <w:rFonts w:eastAsia="Times New Roman" w:cs="Times New Roman"/>
          <w:b/>
          <w:bCs/>
          <w:color w:val="000000"/>
          <w:szCs w:val="28"/>
        </w:rPr>
        <w:t>Chương III</w:t>
      </w:r>
      <w:bookmarkEnd w:id="13"/>
    </w:p>
    <w:p w:rsidR="00A931DA" w:rsidRPr="00A931DA" w:rsidRDefault="00A931DA" w:rsidP="00A931DA">
      <w:pPr>
        <w:shd w:val="clear" w:color="auto" w:fill="FFFFFF"/>
        <w:spacing w:after="0" w:line="234" w:lineRule="atLeast"/>
        <w:jc w:val="center"/>
        <w:rPr>
          <w:rFonts w:eastAsia="Times New Roman" w:cs="Times New Roman"/>
          <w:color w:val="000000"/>
          <w:szCs w:val="28"/>
        </w:rPr>
      </w:pPr>
      <w:bookmarkStart w:id="14" w:name="chuong_3_name"/>
      <w:r w:rsidRPr="00A931DA">
        <w:rPr>
          <w:rFonts w:eastAsia="Times New Roman" w:cs="Times New Roman"/>
          <w:b/>
          <w:bCs/>
          <w:color w:val="000000"/>
          <w:szCs w:val="28"/>
        </w:rPr>
        <w:t>TRÁCH NHIỆM THỰC HIỆN</w:t>
      </w:r>
      <w:bookmarkEnd w:id="14"/>
    </w:p>
    <w:p w:rsidR="00A931DA" w:rsidRPr="00A931DA" w:rsidRDefault="00A931DA" w:rsidP="00A931DA">
      <w:pPr>
        <w:shd w:val="clear" w:color="auto" w:fill="FFFFFF"/>
        <w:spacing w:after="0" w:line="234" w:lineRule="atLeast"/>
        <w:rPr>
          <w:rFonts w:eastAsia="Times New Roman" w:cs="Times New Roman"/>
          <w:color w:val="000000"/>
          <w:szCs w:val="28"/>
        </w:rPr>
      </w:pPr>
      <w:bookmarkStart w:id="15" w:name="dieu_8"/>
      <w:r w:rsidRPr="00A931DA">
        <w:rPr>
          <w:rFonts w:eastAsia="Times New Roman" w:cs="Times New Roman"/>
          <w:b/>
          <w:bCs/>
          <w:color w:val="000000"/>
          <w:szCs w:val="28"/>
        </w:rPr>
        <w:t>Điều 8. Trách nhiệm của Bộ Y tế</w:t>
      </w:r>
      <w:bookmarkEnd w:id="15"/>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1. Hướng dẫn, chỉ đạo Sở Y tế các tỉnh, thành phố trực thuộc Trung ương (sau đây gọi tắt là Sở Y tế), Y tế các bộ, ngành và các đơn vị sự nghiệp y tế trực thuộc Bộ Y tế triển khai thực hiện Thông tư này.</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lastRenderedPageBreak/>
        <w:t>2. Tổ chức tập huấn, tuyên truyền nội dung quy định về Quy tắc ứng xử, trách nhiệm tổ chức thực hiện của cơ quan, tổ chức, cá nhân cho Sở Y tế, Y tế bộ, ngành và các đơn vị sự nghiệp y tế trực thuộc Bộ Y tế.</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3. Phối hợp với Công đoàn Y tế Việt Nam phát động và tổ chức ký cam kết thi đua thực hiện Quy tắc ứng xử với Lãnh đạo Sở Y tế và Chủ tịch Công đoàn ngành Y tế các tỉnh, thành phố, Y tế Bộ, ngành và các đơn vị sự nghiệp trực thuộc Bộ Y tế.</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4. Hướng dẫn các cơ sở y tế trực thuộc Bộ Y tế, căn cứ quy định tại Thông tư này ban hành Quy tắc ứng xử của công chức, viên chức y tế phù hợp với đặc điểm tình hình thực tiễn của đơn vị; xây dựng tiêu chí thi đua, xác định hình thức xử lý đối với từng trường hợp vi phạm theo quy định của pháp luật.</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5. Kiểm tra, giám sát việc chỉ đạo thực hiện của Sở Y tế tỉnh, thành phố, Y tế bộ, ngành và việc triển khai thực hiện của các cơ sở y tế trong toàn quốc.</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6. Tổ chức sơ kết, tổng kết, đánh giá việc thực hiện Quy tắc ứng xử của công chức, viên chức, người lao động làm việc tại các cơ sở y tế.</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7. Bộ Y tế giao Vụ Tổ chức cán bộ làm đầu mối tổ chức triển khai thực hiện Thông tư này.</w:t>
      </w:r>
    </w:p>
    <w:p w:rsidR="00A931DA" w:rsidRPr="00A931DA" w:rsidRDefault="00A931DA" w:rsidP="00A931DA">
      <w:pPr>
        <w:shd w:val="clear" w:color="auto" w:fill="FFFFFF"/>
        <w:spacing w:after="0" w:line="234" w:lineRule="atLeast"/>
        <w:rPr>
          <w:rFonts w:eastAsia="Times New Roman" w:cs="Times New Roman"/>
          <w:color w:val="000000"/>
          <w:szCs w:val="28"/>
        </w:rPr>
      </w:pPr>
      <w:bookmarkStart w:id="16" w:name="dieu_9"/>
      <w:r w:rsidRPr="00A931DA">
        <w:rPr>
          <w:rFonts w:eastAsia="Times New Roman" w:cs="Times New Roman"/>
          <w:b/>
          <w:bCs/>
          <w:color w:val="000000"/>
          <w:szCs w:val="28"/>
        </w:rPr>
        <w:t>Điều 9. Trách nhiệm của Giám đốc Sở Y tế tỉnh, thành phố, Thủ trưởng Y tế bộ, ngành</w:t>
      </w:r>
      <w:bookmarkEnd w:id="16"/>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1. Tổ chức tuyên truyền, quán triệt, tập huấn các nội dung trong Thông tư quy định về Quy tắc ứng xử của công chức, viên chức, người lao động làm việc tại các cơ sở y tế cho Lãnh đạo các cơ sở y tế thuộc quyền quản lý.</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2. Phối hợp với Công đoàn cùng cấp phát động phong trào thi đua trong toàn ngành; tổ chức ký cam kết thực hiện Quy tắc ứng xử với Lãnh đạo và Chủ tịch công đoàn các đơn vị thuộc thẩm quyền quản lý.</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3. Hướng dẫn các cơ sở y tế, căn cứ quy định tại Thông tư này ban hành Quy tắc ứng xử của công chức, viên chức y tế phù hợp với đặc điểm tình hình thực tiễn của đơn vị; xây dựng tiêu chí thi đua, xác định hình thức xử lý đối với từng trường hợp vi phạm theo quy định của pháp luật.</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4. Kiểm tra việc triển khai tại các đơn vị thuộc thẩm quyền quản lý; thiết lập đường dây nóng trong hệ thống các đơn vị trực thuộc để tiếp nhận, xử lý những thông tin phản ánh của công dân.</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5. Khen thưởng kịp thời những tấm gương điển hình, tiên tiến; xử lý nghiêm minh các trường hợp vi phạm Quy tắc ứng xử theo quy định của pháp luật.</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6. Sơ kết 6 tháng, tổng kết một năm về kết quả triển khai thực hiện Thông tư này; báo cáo kết quả thực hiện về Bộ Y tế.</w:t>
      </w:r>
    </w:p>
    <w:p w:rsidR="00A931DA" w:rsidRPr="00A931DA" w:rsidRDefault="00A931DA" w:rsidP="00A931DA">
      <w:pPr>
        <w:shd w:val="clear" w:color="auto" w:fill="FFFFFF"/>
        <w:spacing w:after="0" w:line="234" w:lineRule="atLeast"/>
        <w:rPr>
          <w:rFonts w:eastAsia="Times New Roman" w:cs="Times New Roman"/>
          <w:color w:val="000000"/>
          <w:szCs w:val="28"/>
        </w:rPr>
      </w:pPr>
      <w:bookmarkStart w:id="17" w:name="dieu_10"/>
      <w:r w:rsidRPr="00A931DA">
        <w:rPr>
          <w:rFonts w:eastAsia="Times New Roman" w:cs="Times New Roman"/>
          <w:b/>
          <w:bCs/>
          <w:color w:val="000000"/>
          <w:szCs w:val="28"/>
        </w:rPr>
        <w:t>Điều 10. Trách nhiệm của các hội nghề nghiệp thuộc lĩnh vực quản lý của ngành Y tế</w:t>
      </w:r>
      <w:bookmarkEnd w:id="17"/>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lastRenderedPageBreak/>
        <w:t>1. Phối hợp với cơ quan quản lý nhà nước có thẩm quyền ban hành Quy tắc đạo đức nghề nghiệp theo quy định của pháp luật cho hội viên.</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2. Tuyên truyền, hướng dẫn, tập huấn, đôn đốc nhắc nhở hội viên về Quy tắc ứng xử, đạo đức nghề nghiệp của người hành nghề thuộc lĩnh vực ngành Y tế.</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3. Kiểm tra, giám sát việc hành nghề của hội viên; phát hiện, xử lý những hành vi vi phạm Quy tắc ứng xử, đạo đức nghề nghiệp theo quy định của hội; kiến nghị cơ quan quản lý nhà nước xử lý hành vi vi phạm theo quy định của pháp luật.</w:t>
      </w:r>
    </w:p>
    <w:p w:rsidR="00A931DA" w:rsidRPr="00A931DA" w:rsidRDefault="00A931DA" w:rsidP="00A931DA">
      <w:pPr>
        <w:shd w:val="clear" w:color="auto" w:fill="FFFFFF"/>
        <w:spacing w:after="0" w:line="234" w:lineRule="atLeast"/>
        <w:rPr>
          <w:rFonts w:eastAsia="Times New Roman" w:cs="Times New Roman"/>
          <w:color w:val="000000"/>
          <w:szCs w:val="28"/>
        </w:rPr>
      </w:pPr>
      <w:bookmarkStart w:id="18" w:name="dieu_11"/>
      <w:r w:rsidRPr="00A931DA">
        <w:rPr>
          <w:rFonts w:eastAsia="Times New Roman" w:cs="Times New Roman"/>
          <w:b/>
          <w:bCs/>
          <w:color w:val="000000"/>
          <w:szCs w:val="28"/>
        </w:rPr>
        <w:t>Điều 11. Trách nhiệm của Trưởng phòng Y tế quận, huyện, thị xã, thành phố thuộc tỉnh</w:t>
      </w:r>
      <w:bookmarkEnd w:id="18"/>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1. Xây dựng kế hoạch triển khai thực hiện Thông tư này, trình Ủy ban nhân dân cấp huyện phê duyệt.</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2. Phối hợp với Sở Y tế trong công tác tuyên truyền, quán triệt, tập huấn, thảo luận các nội dung trong Thông tư quy định về Quy tắc ứng xử của công chức, viên chức, người lao động tại các cơ sở y tế cho Lãnh đạo các cơ sở y tế trên địa bàn quản lý.</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3. Phối hợp với các đơn vị liên quan tổ chức kiểm tra, giám sát việc triển khai thực hiện Thông tư này đối với các cơ sở y tế trên địa bàn quản lý.</w:t>
      </w:r>
    </w:p>
    <w:p w:rsidR="00A931DA" w:rsidRPr="00A931DA" w:rsidRDefault="00A931DA" w:rsidP="00A931DA">
      <w:pPr>
        <w:shd w:val="clear" w:color="auto" w:fill="FFFFFF"/>
        <w:spacing w:after="0" w:line="234" w:lineRule="atLeast"/>
        <w:rPr>
          <w:rFonts w:eastAsia="Times New Roman" w:cs="Times New Roman"/>
          <w:color w:val="000000"/>
          <w:szCs w:val="28"/>
        </w:rPr>
      </w:pPr>
      <w:bookmarkStart w:id="19" w:name="dieu_12"/>
      <w:r w:rsidRPr="00A931DA">
        <w:rPr>
          <w:rFonts w:eastAsia="Times New Roman" w:cs="Times New Roman"/>
          <w:b/>
          <w:bCs/>
          <w:color w:val="000000"/>
          <w:szCs w:val="28"/>
        </w:rPr>
        <w:t>Điều 12. Trách nhiệm của Thủ trưởng các cơ sở y tế</w:t>
      </w:r>
      <w:bookmarkEnd w:id="19"/>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1. Triển khai thực hiện Thông tư quy định về Quy tắc ứng xử của công chức, viên chức y tế trong đơn vị thuộc thẩm quyền quản lý.</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2. Quán triệt, tập huấn, trao đổi thảo luận các nội dung về quy tắc ứng xử, trách nhiệm tổ chức thực hiện quy định trong Thông tư.</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3. Căn cứ các quy định tại Thông tư này, ban hành Quy tắc ứng xử của công chức, viên chức y tế làm việc tại cơ sở y tế phù hợp với đặc điểm tình hình thực tiễn của đơn vị.</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4. Niêm yết công khai nội dung Quy tắc ứng xử tại cơ sở y tế.</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5. Ban hành quy chế, tiêu chí về thi đua, khen thưởng, chế tài xử lý các trường hợp vi phạm; khen thưởng kịp thời những tấm gương điển hình, tiên tiến xử lý nghiêm minh các trường hợp vi phạm việc thực hiện Quy tắc ứng xử.</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6. Phối hợp với Công đoàn cơ sở phát động các phong trào thi đua; tổ chức ký cam kết thực hiện tốt Quy tắc ứng xử với Trưởng các khoa, phòng (và tương đương) trong đơn vị.</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7. Kiểm tra, giám sát các hoạt động của từng đơn vị trực thuộc và của từng viên chức; lắp đặt hệ thống đường dây nóng để tiếp nhận những thông tin phản ánh của công dân và hệ thống camera giám sát hoạt động của các bộ phận trong đơn vị.</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8. Sơ kết 6 tháng, tổng kết một năm về kết quả triển khai thực hiện Quy tắc ứng xử đơn vị; báo cáo cấp có thẩm quyền theo quy định.</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lastRenderedPageBreak/>
        <w:t>9. Chịu trách nhiệm trước pháp luật và cấp trên:</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a) Về việc triển khai thực hiện Quy tắc ứng xử trong đơn vị;</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b) Nếu để xảy ra tình trạng vi phạm Quy tắc ứng xử của viên chức thuộc quyền quản lý.</w:t>
      </w:r>
    </w:p>
    <w:p w:rsidR="00A931DA" w:rsidRPr="00A931DA" w:rsidRDefault="00A931DA" w:rsidP="00A931DA">
      <w:pPr>
        <w:shd w:val="clear" w:color="auto" w:fill="FFFFFF"/>
        <w:spacing w:after="0" w:line="234" w:lineRule="atLeast"/>
        <w:rPr>
          <w:rFonts w:eastAsia="Times New Roman" w:cs="Times New Roman"/>
          <w:color w:val="000000"/>
          <w:szCs w:val="28"/>
        </w:rPr>
      </w:pPr>
      <w:bookmarkStart w:id="20" w:name="dieu_13"/>
      <w:r w:rsidRPr="00A931DA">
        <w:rPr>
          <w:rFonts w:eastAsia="Times New Roman" w:cs="Times New Roman"/>
          <w:b/>
          <w:bCs/>
          <w:color w:val="000000"/>
          <w:szCs w:val="28"/>
        </w:rPr>
        <w:t>Điều 13. Trách nhiệm của Trưởng khoa, phòng và tương đương tại các cơ sở y tế (gọi chung là khoa, phòng)</w:t>
      </w:r>
      <w:bookmarkEnd w:id="20"/>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1. Nghiêm túc triển khai thực hiện Thông tư quy định về Quy tắc ứng xử.</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2. Thảo luận, bàn bạc, trao đổi cách thức triển khai thực hiện Quy tắc ứng xử trong khoa, phòng cho phù hợp.</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3. Hưởng ứng các phong trào thi đua trong đơn vị.</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4. Kiểm tra, đôn đốc các hoạt động trong khoa, phòng.</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5. Ký cam kết thi đua với Thủ trưởng đơn vị, với các khoa, phòng khác; giữa các viên chức trong khoa, phòng.</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6. Quán triệt, phổ biến cho nhân dân: Không đưa tiền, quà biếu trong khi viên chức y tế thi hành nhiệm vụ.</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7. Chịu trách nhiệm nếu để xảy ra tình trạng vi phạm Quy tắc ứng xử của viên chức thuộc quyền quản lý.</w:t>
      </w:r>
    </w:p>
    <w:p w:rsidR="00A931DA" w:rsidRPr="00A931DA" w:rsidRDefault="00A931DA" w:rsidP="00A931DA">
      <w:pPr>
        <w:shd w:val="clear" w:color="auto" w:fill="FFFFFF"/>
        <w:spacing w:after="0" w:line="234" w:lineRule="atLeast"/>
        <w:rPr>
          <w:rFonts w:eastAsia="Times New Roman" w:cs="Times New Roman"/>
          <w:color w:val="000000"/>
          <w:szCs w:val="28"/>
        </w:rPr>
      </w:pPr>
      <w:bookmarkStart w:id="21" w:name="dieu_14"/>
      <w:r w:rsidRPr="00A931DA">
        <w:rPr>
          <w:rFonts w:eastAsia="Times New Roman" w:cs="Times New Roman"/>
          <w:b/>
          <w:bCs/>
          <w:color w:val="000000"/>
          <w:szCs w:val="28"/>
        </w:rPr>
        <w:t>Điều 14. Trách nhiệm của công chức, viên chức y tế</w:t>
      </w:r>
      <w:bookmarkEnd w:id="21"/>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1. Học tập, nghiêm túc chấp hành đầy đủ các quy định về những việc công chức, viên chức y tế phải làm và những việc công chức, viên chức y tế không được làm. Ngoài các quy định tại Thông tư này, công chức, viên chức y tế còn phải thực hiện các quy định khác của pháp luật có liên quan.</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2. Ký cam kết với trưởng khoa, phòng trong đơn vị về thực hiện nghiêm túc Quy tắc ứng xử của công chức, viên chức y tế theo hướng dẫn của đơn vị.</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3. Gương mẫu chấp hành và vận động đồng nghiệp cùng thực hiện.</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4. Vận động nhân dân thực hiện đầy đủ các quy định của pháp luật để nhân dân tạo điều kiện giúp viên chức thực thi, hoàn thành tốt nhiệm vụ được giao.</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5. Chịu trách nhiệm cá nhân trước pháp luật, nội quy, quy chế của cơ quan, đơn vị nếu vi phạm quy định về Quy tắc ứng xử.</w:t>
      </w:r>
    </w:p>
    <w:p w:rsidR="00A931DA" w:rsidRPr="00A931DA" w:rsidRDefault="00A931DA" w:rsidP="00A931DA">
      <w:pPr>
        <w:shd w:val="clear" w:color="auto" w:fill="FFFFFF"/>
        <w:spacing w:after="0" w:line="234" w:lineRule="atLeast"/>
        <w:rPr>
          <w:rFonts w:eastAsia="Times New Roman" w:cs="Times New Roman"/>
          <w:color w:val="000000"/>
          <w:szCs w:val="28"/>
        </w:rPr>
      </w:pPr>
      <w:bookmarkStart w:id="22" w:name="chuong_4"/>
      <w:r w:rsidRPr="00A931DA">
        <w:rPr>
          <w:rFonts w:eastAsia="Times New Roman" w:cs="Times New Roman"/>
          <w:b/>
          <w:bCs/>
          <w:color w:val="000000"/>
          <w:szCs w:val="28"/>
        </w:rPr>
        <w:t>Chương IV</w:t>
      </w:r>
      <w:bookmarkEnd w:id="22"/>
    </w:p>
    <w:p w:rsidR="00A931DA" w:rsidRPr="00A931DA" w:rsidRDefault="00A931DA" w:rsidP="00A931DA">
      <w:pPr>
        <w:shd w:val="clear" w:color="auto" w:fill="FFFFFF"/>
        <w:spacing w:after="0" w:line="234" w:lineRule="atLeast"/>
        <w:jc w:val="center"/>
        <w:rPr>
          <w:rFonts w:eastAsia="Times New Roman" w:cs="Times New Roman"/>
          <w:color w:val="000000"/>
          <w:szCs w:val="28"/>
        </w:rPr>
      </w:pPr>
      <w:bookmarkStart w:id="23" w:name="chuong_4_name"/>
      <w:r w:rsidRPr="00A931DA">
        <w:rPr>
          <w:rFonts w:eastAsia="Times New Roman" w:cs="Times New Roman"/>
          <w:b/>
          <w:bCs/>
          <w:color w:val="000000"/>
          <w:szCs w:val="28"/>
        </w:rPr>
        <w:t>KHEN THƯỞNG, XỬ LÝ VI PHẠM</w:t>
      </w:r>
      <w:bookmarkEnd w:id="23"/>
    </w:p>
    <w:p w:rsidR="00A931DA" w:rsidRPr="00A931DA" w:rsidRDefault="00A931DA" w:rsidP="00A931DA">
      <w:pPr>
        <w:shd w:val="clear" w:color="auto" w:fill="FFFFFF"/>
        <w:spacing w:after="0" w:line="234" w:lineRule="atLeast"/>
        <w:rPr>
          <w:rFonts w:eastAsia="Times New Roman" w:cs="Times New Roman"/>
          <w:color w:val="000000"/>
          <w:szCs w:val="28"/>
        </w:rPr>
      </w:pPr>
      <w:bookmarkStart w:id="24" w:name="dieu_15"/>
      <w:r w:rsidRPr="00A931DA">
        <w:rPr>
          <w:rFonts w:eastAsia="Times New Roman" w:cs="Times New Roman"/>
          <w:b/>
          <w:bCs/>
          <w:color w:val="000000"/>
          <w:szCs w:val="28"/>
        </w:rPr>
        <w:t>Điều 15. Khen thưởng</w:t>
      </w:r>
      <w:bookmarkEnd w:id="24"/>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1. Tập thể, cá nhân thực hiện tốt các quy định của Thông tư này sẽ được khen thưởng theo quy định của Luật thi đua, khen thưởng và quy chế thi đua, khen thưởng của cơ quan, đơn vị.</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lastRenderedPageBreak/>
        <w:t>2. Các hình thức khen thưởng do Thủ trưởng cơ sở y tế quyết định:</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a) Biểu dương tập thể, cá nhân trước toàn thể cơ quan, đơn vị;</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b) Tăng thưởng thi đua theo phân loại lao động hàng tháng;</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c) Xếp loại hoàn thành xuất sắc nhiệm vụ trong tiêu chí đánh giá, xếp loại viên chức cuối năm;</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d) Các hình thức khen thưởng phù hợp khác theo quy chế, quy định của cơ quan, đơn vị.</w:t>
      </w:r>
    </w:p>
    <w:p w:rsidR="00A931DA" w:rsidRPr="00A931DA" w:rsidRDefault="00A931DA" w:rsidP="00A931DA">
      <w:pPr>
        <w:shd w:val="clear" w:color="auto" w:fill="FFFFFF"/>
        <w:spacing w:after="0" w:line="234" w:lineRule="atLeast"/>
        <w:rPr>
          <w:rFonts w:eastAsia="Times New Roman" w:cs="Times New Roman"/>
          <w:color w:val="000000"/>
          <w:szCs w:val="28"/>
        </w:rPr>
      </w:pPr>
      <w:bookmarkStart w:id="25" w:name="dieu_16"/>
      <w:r w:rsidRPr="00A931DA">
        <w:rPr>
          <w:rFonts w:eastAsia="Times New Roman" w:cs="Times New Roman"/>
          <w:b/>
          <w:bCs/>
          <w:color w:val="000000"/>
          <w:szCs w:val="28"/>
        </w:rPr>
        <w:t>Điều 16. Xử lý vi phạm</w:t>
      </w:r>
      <w:bookmarkEnd w:id="25"/>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1. Tập thể, cá nhân vi phạm các quy định của Thông tư này, tùy theo mức độ vi phạm sẽ bị xử lý kỷ luật theo quy định của pháp luật đối với công chức, viên chức và quy chế xử lý vi phạm của cơ quan, đơn vị.</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2. Thủ trưởng các cơ sở y tế xây dựng Tiêu chí xử lý vi phạm theo tính chất và mức độ của hành vi vi phạm Quy tắc ứng xử phù hợp với đặc điểm của từng loại hình hoạt động của đơn vị.</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3. Những hình thức xử lý vi phạm do Thủ trưởng cơ sở y tế quyết định:</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a) Phê bình trước hội nghị giao ban toàn đơn vị;</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b) Cắt thưởng hoặc giảm thưởng thi đua theo phân loại lao động hàng tháng;</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c) Điều chuyển vị trí công tác;</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d) Xếp loại không hoàn thành nhiệm vụ trong tiêu chí đánh giá, xếp loại viên chức cuối năm;</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đ) Không xét các danh hiệu thi đua, hình thức khen thưởng cho tập thể, cá nhân vi phạm;</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e) Các hình thức xử lý vi phạm phù hợp khác do cơ quan, đơn vị quy định.</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4. Thủ trưởng các cơ sở y tế không kiên quyết tổ chức thực hiện Thông tư này, không đề ra những biện pháp, giải pháp phù hợp để viên chức, người lao động trong đơn vị thực hiện tốt Quy tắc ứng xử, nếu để xảy ra tình trạng vi phạm Quy tắc ứng xử tại cơ sở sẽ bị xử lý theo quy định của pháp luật về trách nhiệm của người đứng đầu cơ quan, đơn vị.</w:t>
      </w:r>
    </w:p>
    <w:p w:rsidR="00A931DA" w:rsidRPr="00A931DA" w:rsidRDefault="00A931DA" w:rsidP="00A931DA">
      <w:pPr>
        <w:shd w:val="clear" w:color="auto" w:fill="FFFFFF"/>
        <w:spacing w:after="0" w:line="234" w:lineRule="atLeast"/>
        <w:rPr>
          <w:rFonts w:eastAsia="Times New Roman" w:cs="Times New Roman"/>
          <w:color w:val="000000"/>
          <w:szCs w:val="28"/>
        </w:rPr>
      </w:pPr>
      <w:bookmarkStart w:id="26" w:name="chuong_5"/>
      <w:r w:rsidRPr="00A931DA">
        <w:rPr>
          <w:rFonts w:eastAsia="Times New Roman" w:cs="Times New Roman"/>
          <w:b/>
          <w:bCs/>
          <w:color w:val="000000"/>
          <w:szCs w:val="28"/>
        </w:rPr>
        <w:t>Chương V</w:t>
      </w:r>
      <w:bookmarkEnd w:id="26"/>
    </w:p>
    <w:p w:rsidR="00A931DA" w:rsidRPr="00A931DA" w:rsidRDefault="00A931DA" w:rsidP="00A931DA">
      <w:pPr>
        <w:shd w:val="clear" w:color="auto" w:fill="FFFFFF"/>
        <w:spacing w:after="0" w:line="234" w:lineRule="atLeast"/>
        <w:jc w:val="center"/>
        <w:rPr>
          <w:rFonts w:eastAsia="Times New Roman" w:cs="Times New Roman"/>
          <w:color w:val="000000"/>
          <w:szCs w:val="28"/>
        </w:rPr>
      </w:pPr>
      <w:bookmarkStart w:id="27" w:name="chuong_5_name"/>
      <w:r w:rsidRPr="00A931DA">
        <w:rPr>
          <w:rFonts w:eastAsia="Times New Roman" w:cs="Times New Roman"/>
          <w:b/>
          <w:bCs/>
          <w:color w:val="000000"/>
          <w:szCs w:val="28"/>
        </w:rPr>
        <w:t>ĐIỀU KHOẢN THI HÀNH</w:t>
      </w:r>
      <w:bookmarkEnd w:id="27"/>
    </w:p>
    <w:p w:rsidR="00A931DA" w:rsidRPr="00A931DA" w:rsidRDefault="00A931DA" w:rsidP="00A931DA">
      <w:pPr>
        <w:shd w:val="clear" w:color="auto" w:fill="FFFFFF"/>
        <w:spacing w:after="0" w:line="234" w:lineRule="atLeast"/>
        <w:rPr>
          <w:rFonts w:eastAsia="Times New Roman" w:cs="Times New Roman"/>
          <w:color w:val="000000"/>
          <w:szCs w:val="28"/>
        </w:rPr>
      </w:pPr>
      <w:bookmarkStart w:id="28" w:name="dieu_17"/>
      <w:r w:rsidRPr="00A931DA">
        <w:rPr>
          <w:rFonts w:eastAsia="Times New Roman" w:cs="Times New Roman"/>
          <w:b/>
          <w:bCs/>
          <w:color w:val="000000"/>
          <w:szCs w:val="28"/>
        </w:rPr>
        <w:t>Điều 17. Hiệu lực thi hành</w:t>
      </w:r>
      <w:bookmarkEnd w:id="28"/>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1. Thông tư này có hiệu lực thi hành từ ngày 01 tháng 5 năm 2014.</w:t>
      </w:r>
    </w:p>
    <w:p w:rsidR="00A931DA" w:rsidRPr="00A931DA" w:rsidRDefault="00A931DA" w:rsidP="00A931DA">
      <w:pPr>
        <w:shd w:val="clear" w:color="auto" w:fill="FFFFFF"/>
        <w:spacing w:after="0" w:line="234" w:lineRule="atLeast"/>
        <w:rPr>
          <w:rFonts w:eastAsia="Times New Roman" w:cs="Times New Roman"/>
          <w:color w:val="000000"/>
          <w:szCs w:val="28"/>
        </w:rPr>
      </w:pPr>
      <w:r w:rsidRPr="00A931DA">
        <w:rPr>
          <w:rFonts w:eastAsia="Times New Roman" w:cs="Times New Roman"/>
          <w:color w:val="000000"/>
          <w:szCs w:val="28"/>
        </w:rPr>
        <w:t>2. Quyết định số </w:t>
      </w:r>
      <w:hyperlink r:id="rId5" w:tgtFrame="_blank" w:tooltip="Quyết định 4031/2001/QĐ-BYT" w:history="1">
        <w:r w:rsidRPr="00A931DA">
          <w:rPr>
            <w:rFonts w:eastAsia="Times New Roman" w:cs="Times New Roman"/>
            <w:color w:val="0E70C3"/>
            <w:szCs w:val="28"/>
          </w:rPr>
          <w:t>4031/2001/QĐ-BYT</w:t>
        </w:r>
      </w:hyperlink>
      <w:r w:rsidRPr="00A931DA">
        <w:rPr>
          <w:rFonts w:eastAsia="Times New Roman" w:cs="Times New Roman"/>
          <w:color w:val="000000"/>
          <w:szCs w:val="28"/>
        </w:rPr>
        <w:t> ngày 27 tháng 9 năm 2001 của Bộ trưởng Bộ Y tế về việc ban hành Quy định về chế độ giao tiếp tại các cơ sở khám bệnh, chữa bệnh và Quyết định số </w:t>
      </w:r>
      <w:hyperlink r:id="rId6" w:tgtFrame="_blank" w:tooltip="Quyết định 29/2008/QĐ-BYT" w:history="1">
        <w:r w:rsidRPr="00A931DA">
          <w:rPr>
            <w:rFonts w:eastAsia="Times New Roman" w:cs="Times New Roman"/>
            <w:color w:val="0E70C3"/>
            <w:szCs w:val="28"/>
          </w:rPr>
          <w:t>29/2008/QĐ-BYT</w:t>
        </w:r>
      </w:hyperlink>
      <w:r w:rsidRPr="00A931DA">
        <w:rPr>
          <w:rFonts w:eastAsia="Times New Roman" w:cs="Times New Roman"/>
          <w:color w:val="000000"/>
          <w:szCs w:val="28"/>
        </w:rPr>
        <w:t xml:space="preserve"> ngày 18 tháng 8 năm 2008 của Bộ trưởng Bộ Y </w:t>
      </w:r>
      <w:r w:rsidRPr="00A931DA">
        <w:rPr>
          <w:rFonts w:eastAsia="Times New Roman" w:cs="Times New Roman"/>
          <w:color w:val="000000"/>
          <w:szCs w:val="28"/>
        </w:rPr>
        <w:lastRenderedPageBreak/>
        <w:t>tế về việc ban hành Quy tắc ứng xử của cán bộ, viên chức tại các đơn vị sự nghiệp y tế hết hiệu lực kể từ ngày Thông tư này có hiệu lực thi hành.</w:t>
      </w:r>
    </w:p>
    <w:p w:rsidR="00A931DA" w:rsidRPr="00A931DA" w:rsidRDefault="00A931DA" w:rsidP="00A931DA">
      <w:pPr>
        <w:shd w:val="clear" w:color="auto" w:fill="FFFFFF"/>
        <w:spacing w:after="0" w:line="234" w:lineRule="atLeast"/>
        <w:rPr>
          <w:rFonts w:eastAsia="Times New Roman" w:cs="Times New Roman"/>
          <w:color w:val="000000"/>
          <w:szCs w:val="28"/>
        </w:rPr>
      </w:pPr>
      <w:bookmarkStart w:id="29" w:name="dieu_18"/>
      <w:r w:rsidRPr="00A931DA">
        <w:rPr>
          <w:rFonts w:eastAsia="Times New Roman" w:cs="Times New Roman"/>
          <w:b/>
          <w:bCs/>
          <w:color w:val="000000"/>
          <w:szCs w:val="28"/>
        </w:rPr>
        <w:t>Điều 18. Trách nhiệm thi hành</w:t>
      </w:r>
      <w:bookmarkEnd w:id="29"/>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Chánh Văn phòng Bộ, Vụ trưởng Vụ Tổ chức cán bộ, Cục trưởng Cục Quản lý khám, chữa bệnh, Chánh Thanh tra Bộ, Vụ trưởng, Cục trưởng, Tổng Cục trưởng các Vụ, Cục, Tổng cục thuộc Bộ Y tế, Giám đốc Sở Y tế các tỉnh, thành phố trực thuộc Trung ương, Thủ trưởng cơ quan y tế các bộ, ngành, Chủ tịch các hội nghề nghiệp thuộc lĩnh vực y tế, Thủ trưởng các cơ sở y tế trong toàn quốc, Trưởng phòng Y tế các quận, huyện, thị xã thuộc tỉnh, thành phố trực thuộc Trung ương và cơ quan, tổ chức, cá nhân có liên quan chịu trách nhiệm thi hành Thông tư này.</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Trong quá trình thực hiện, nếu có khó khăn vướng mắc, các địa phương, đơn vị phản ánh về Bộ Y tế để xem xét, giải quyết./.</w:t>
      </w:r>
    </w:p>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 </w:t>
      </w:r>
    </w:p>
    <w:tbl>
      <w:tblPr>
        <w:tblW w:w="0" w:type="auto"/>
        <w:tblCellSpacing w:w="0" w:type="dxa"/>
        <w:shd w:val="clear" w:color="auto" w:fill="FFFFFF"/>
        <w:tblCellMar>
          <w:left w:w="0" w:type="dxa"/>
          <w:right w:w="0" w:type="dxa"/>
        </w:tblCellMar>
        <w:tblLook w:val="04A0"/>
      </w:tblPr>
      <w:tblGrid>
        <w:gridCol w:w="4788"/>
        <w:gridCol w:w="4068"/>
      </w:tblGrid>
      <w:tr w:rsidR="00A931DA" w:rsidRPr="00A931DA" w:rsidTr="00A931DA">
        <w:trPr>
          <w:tblCellSpacing w:w="0" w:type="dxa"/>
        </w:trPr>
        <w:tc>
          <w:tcPr>
            <w:tcW w:w="4788" w:type="dxa"/>
            <w:shd w:val="clear" w:color="auto" w:fill="FFFFFF"/>
            <w:tcMar>
              <w:top w:w="0" w:type="dxa"/>
              <w:left w:w="108" w:type="dxa"/>
              <w:bottom w:w="0" w:type="dxa"/>
              <w:right w:w="108" w:type="dxa"/>
            </w:tcMar>
            <w:hideMark/>
          </w:tcPr>
          <w:p w:rsidR="00A931DA" w:rsidRPr="00A931DA" w:rsidRDefault="00A931DA" w:rsidP="00A931DA">
            <w:pPr>
              <w:spacing w:before="120" w:after="120" w:line="234" w:lineRule="atLeast"/>
              <w:rPr>
                <w:rFonts w:eastAsia="Times New Roman" w:cs="Times New Roman"/>
                <w:color w:val="000000"/>
                <w:szCs w:val="28"/>
              </w:rPr>
            </w:pPr>
            <w:r w:rsidRPr="00A931DA">
              <w:rPr>
                <w:rFonts w:eastAsia="Times New Roman" w:cs="Times New Roman"/>
                <w:color w:val="000000"/>
                <w:szCs w:val="28"/>
              </w:rPr>
              <w:t> </w:t>
            </w:r>
          </w:p>
          <w:p w:rsidR="00A931DA" w:rsidRPr="00A931DA" w:rsidRDefault="00A931DA" w:rsidP="00A931DA">
            <w:pPr>
              <w:spacing w:before="120" w:after="120" w:line="234" w:lineRule="atLeast"/>
              <w:rPr>
                <w:rFonts w:eastAsia="Times New Roman" w:cs="Times New Roman"/>
                <w:color w:val="000000"/>
                <w:szCs w:val="28"/>
              </w:rPr>
            </w:pPr>
            <w:r w:rsidRPr="00A931DA">
              <w:rPr>
                <w:rFonts w:eastAsia="Times New Roman" w:cs="Times New Roman"/>
                <w:b/>
                <w:bCs/>
                <w:i/>
                <w:iCs/>
                <w:color w:val="000000"/>
                <w:szCs w:val="28"/>
              </w:rPr>
              <w:t>Nơi nhận:</w:t>
            </w:r>
            <w:r w:rsidRPr="00A931DA">
              <w:rPr>
                <w:rFonts w:eastAsia="Times New Roman" w:cs="Times New Roman"/>
                <w:b/>
                <w:bCs/>
                <w:i/>
                <w:iCs/>
                <w:color w:val="000000"/>
                <w:szCs w:val="28"/>
              </w:rPr>
              <w:br/>
            </w:r>
            <w:r w:rsidRPr="00A931DA">
              <w:rPr>
                <w:rFonts w:eastAsia="Times New Roman" w:cs="Times New Roman"/>
                <w:color w:val="000000"/>
                <w:szCs w:val="28"/>
              </w:rPr>
              <w:t>- Văn phòng Chính phủ (Phòng Công báo; Cổng TTĐTCP);</w:t>
            </w:r>
            <w:r w:rsidRPr="00A931DA">
              <w:rPr>
                <w:rFonts w:eastAsia="Times New Roman" w:cs="Times New Roman"/>
                <w:color w:val="000000"/>
                <w:szCs w:val="28"/>
              </w:rPr>
              <w:br/>
              <w:t>- Bộ Tư pháp (Cục Kiểm tra VBQPPL);</w:t>
            </w:r>
            <w:r w:rsidRPr="00A931DA">
              <w:rPr>
                <w:rFonts w:eastAsia="Times New Roman" w:cs="Times New Roman"/>
                <w:color w:val="000000"/>
                <w:szCs w:val="28"/>
              </w:rPr>
              <w:br/>
              <w:t>- Bộ Nội vụ (Vụ Pháp chế);</w:t>
            </w:r>
            <w:r w:rsidRPr="00A931DA">
              <w:rPr>
                <w:rFonts w:eastAsia="Times New Roman" w:cs="Times New Roman"/>
                <w:color w:val="000000"/>
                <w:szCs w:val="28"/>
              </w:rPr>
              <w:br/>
              <w:t>- Các Bộ, Cơ quan ngang Bộ;</w:t>
            </w:r>
            <w:r w:rsidRPr="00A931DA">
              <w:rPr>
                <w:rFonts w:eastAsia="Times New Roman" w:cs="Times New Roman"/>
                <w:color w:val="000000"/>
                <w:szCs w:val="28"/>
              </w:rPr>
              <w:br/>
              <w:t>- UBND các tỉnh, TP trực thuộc TW;</w:t>
            </w:r>
            <w:r w:rsidRPr="00A931DA">
              <w:rPr>
                <w:rFonts w:eastAsia="Times New Roman" w:cs="Times New Roman"/>
                <w:color w:val="000000"/>
                <w:szCs w:val="28"/>
              </w:rPr>
              <w:br/>
              <w:t>- Bộ trưởng;</w:t>
            </w:r>
            <w:r w:rsidRPr="00A931DA">
              <w:rPr>
                <w:rFonts w:eastAsia="Times New Roman" w:cs="Times New Roman"/>
                <w:color w:val="000000"/>
                <w:szCs w:val="28"/>
              </w:rPr>
              <w:br/>
              <w:t>- Các Thứ trưởng Bộ Y tế;</w:t>
            </w:r>
            <w:r w:rsidRPr="00A931DA">
              <w:rPr>
                <w:rFonts w:eastAsia="Times New Roman" w:cs="Times New Roman"/>
                <w:color w:val="000000"/>
                <w:szCs w:val="28"/>
              </w:rPr>
              <w:br/>
              <w:t>- Các Vụ, Cục, Tổng cục, VP Bộ, TTr Bộ Y tế;</w:t>
            </w:r>
            <w:r w:rsidRPr="00A931DA">
              <w:rPr>
                <w:rFonts w:eastAsia="Times New Roman" w:cs="Times New Roman"/>
                <w:color w:val="000000"/>
                <w:szCs w:val="28"/>
              </w:rPr>
              <w:br/>
              <w:t>- Chủ tịch các hội nghề nghiệp về y tế cấp TW;</w:t>
            </w:r>
            <w:r w:rsidRPr="00A931DA">
              <w:rPr>
                <w:rFonts w:eastAsia="Times New Roman" w:cs="Times New Roman"/>
                <w:color w:val="000000"/>
                <w:szCs w:val="28"/>
              </w:rPr>
              <w:br/>
              <w:t>- Sở Y tế các tỉnh, thành phố trực thuộc TW; </w:t>
            </w:r>
            <w:r w:rsidRPr="00A931DA">
              <w:rPr>
                <w:rFonts w:eastAsia="Times New Roman" w:cs="Times New Roman"/>
                <w:color w:val="000000"/>
                <w:szCs w:val="28"/>
              </w:rPr>
              <w:br/>
              <w:t>- Các đơn vị sự nghiệp trực thuộc Bộ Y tế;</w:t>
            </w:r>
            <w:r w:rsidRPr="00A931DA">
              <w:rPr>
                <w:rFonts w:eastAsia="Times New Roman" w:cs="Times New Roman"/>
                <w:color w:val="000000"/>
                <w:szCs w:val="28"/>
              </w:rPr>
              <w:br/>
              <w:t>- Y tế các bộ, ngành;</w:t>
            </w:r>
            <w:r w:rsidRPr="00A931DA">
              <w:rPr>
                <w:rFonts w:eastAsia="Times New Roman" w:cs="Times New Roman"/>
                <w:color w:val="000000"/>
                <w:szCs w:val="28"/>
              </w:rPr>
              <w:br/>
              <w:t>- Công đoàn Y tế Việt Nam;</w:t>
            </w:r>
            <w:r w:rsidRPr="00A931DA">
              <w:rPr>
                <w:rFonts w:eastAsia="Times New Roman" w:cs="Times New Roman"/>
                <w:color w:val="000000"/>
                <w:szCs w:val="28"/>
              </w:rPr>
              <w:br/>
              <w:t>- Cổng TTĐT Bộ Y tế;</w:t>
            </w:r>
            <w:r w:rsidRPr="00A931DA">
              <w:rPr>
                <w:rFonts w:eastAsia="Times New Roman" w:cs="Times New Roman"/>
                <w:color w:val="000000"/>
                <w:szCs w:val="28"/>
              </w:rPr>
              <w:br/>
              <w:t>- Lưu: VT, PC, TCCB.</w:t>
            </w:r>
          </w:p>
        </w:tc>
        <w:tc>
          <w:tcPr>
            <w:tcW w:w="4068" w:type="dxa"/>
            <w:shd w:val="clear" w:color="auto" w:fill="FFFFFF"/>
            <w:tcMar>
              <w:top w:w="0" w:type="dxa"/>
              <w:left w:w="108" w:type="dxa"/>
              <w:bottom w:w="0" w:type="dxa"/>
              <w:right w:w="108" w:type="dxa"/>
            </w:tcMar>
            <w:hideMark/>
          </w:tcPr>
          <w:p w:rsidR="00A931DA" w:rsidRPr="00A931DA" w:rsidRDefault="00A931DA" w:rsidP="00A931DA">
            <w:pPr>
              <w:spacing w:before="120" w:after="120" w:line="234" w:lineRule="atLeast"/>
              <w:jc w:val="center"/>
              <w:rPr>
                <w:rFonts w:eastAsia="Times New Roman" w:cs="Times New Roman"/>
                <w:color w:val="000000"/>
                <w:szCs w:val="28"/>
              </w:rPr>
            </w:pPr>
            <w:r w:rsidRPr="00A931DA">
              <w:rPr>
                <w:rFonts w:eastAsia="Times New Roman" w:cs="Times New Roman"/>
                <w:b/>
                <w:bCs/>
                <w:color w:val="000000"/>
                <w:szCs w:val="28"/>
              </w:rPr>
              <w:t>BỘ TRƯỞNG</w:t>
            </w:r>
            <w:r w:rsidRPr="00A931DA">
              <w:rPr>
                <w:rFonts w:eastAsia="Times New Roman" w:cs="Times New Roman"/>
                <w:b/>
                <w:bCs/>
                <w:color w:val="000000"/>
                <w:szCs w:val="28"/>
              </w:rPr>
              <w:br/>
            </w:r>
            <w:r w:rsidRPr="00A931DA">
              <w:rPr>
                <w:rFonts w:eastAsia="Times New Roman" w:cs="Times New Roman"/>
                <w:b/>
                <w:bCs/>
                <w:color w:val="000000"/>
                <w:szCs w:val="28"/>
              </w:rPr>
              <w:br/>
            </w:r>
            <w:r w:rsidRPr="00A931DA">
              <w:rPr>
                <w:rFonts w:eastAsia="Times New Roman" w:cs="Times New Roman"/>
                <w:b/>
                <w:bCs/>
                <w:color w:val="000000"/>
                <w:szCs w:val="28"/>
              </w:rPr>
              <w:br/>
            </w:r>
            <w:r w:rsidRPr="00A931DA">
              <w:rPr>
                <w:rFonts w:eastAsia="Times New Roman" w:cs="Times New Roman"/>
                <w:b/>
                <w:bCs/>
                <w:color w:val="000000"/>
                <w:szCs w:val="28"/>
              </w:rPr>
              <w:br/>
            </w:r>
            <w:r w:rsidRPr="00A931DA">
              <w:rPr>
                <w:rFonts w:eastAsia="Times New Roman" w:cs="Times New Roman"/>
                <w:b/>
                <w:bCs/>
                <w:color w:val="000000"/>
                <w:szCs w:val="28"/>
              </w:rPr>
              <w:br/>
              <w:t>Nguyễn Thị Kim Tiến</w:t>
            </w:r>
          </w:p>
        </w:tc>
      </w:tr>
    </w:tbl>
    <w:p w:rsidR="00A931DA" w:rsidRPr="00A931DA" w:rsidRDefault="00A931DA" w:rsidP="00A931DA">
      <w:pPr>
        <w:shd w:val="clear" w:color="auto" w:fill="FFFFFF"/>
        <w:spacing w:before="120" w:after="120" w:line="234" w:lineRule="atLeast"/>
        <w:rPr>
          <w:rFonts w:eastAsia="Times New Roman" w:cs="Times New Roman"/>
          <w:color w:val="000000"/>
          <w:szCs w:val="28"/>
        </w:rPr>
      </w:pPr>
      <w:r w:rsidRPr="00A931DA">
        <w:rPr>
          <w:rFonts w:eastAsia="Times New Roman" w:cs="Times New Roman"/>
          <w:color w:val="000000"/>
          <w:szCs w:val="28"/>
        </w:rPr>
        <w:t> </w:t>
      </w:r>
    </w:p>
    <w:p w:rsidR="006B5009" w:rsidRPr="00A931DA" w:rsidRDefault="006B5009">
      <w:pPr>
        <w:rPr>
          <w:rFonts w:cs="Times New Roman"/>
          <w:szCs w:val="28"/>
        </w:rPr>
      </w:pPr>
    </w:p>
    <w:sectPr w:rsidR="006B5009" w:rsidRPr="00A931DA" w:rsidSect="00EC514B">
      <w:pgSz w:w="12240" w:h="15840"/>
      <w:pgMar w:top="1134"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A931DA"/>
    <w:rsid w:val="000D25C8"/>
    <w:rsid w:val="001C5E5C"/>
    <w:rsid w:val="002F3818"/>
    <w:rsid w:val="006B5009"/>
    <w:rsid w:val="00777E61"/>
    <w:rsid w:val="00A931DA"/>
    <w:rsid w:val="00B272A9"/>
    <w:rsid w:val="00EC51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0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31D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A931DA"/>
    <w:rPr>
      <w:color w:val="0000FF"/>
      <w:u w:val="single"/>
    </w:rPr>
  </w:style>
</w:styles>
</file>

<file path=word/webSettings.xml><?xml version="1.0" encoding="utf-8"?>
<w:webSettings xmlns:r="http://schemas.openxmlformats.org/officeDocument/2006/relationships" xmlns:w="http://schemas.openxmlformats.org/wordprocessingml/2006/main">
  <w:divs>
    <w:div w:id="100135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lao-dong-tien-luong/quyet-dinh-29-2008-qd-byt-quy-tac-ung-xu-cua-can-bo-vien-chuc-trong-cac-don-vi-su-nghiep-y-te-69463.aspx" TargetMode="External"/><Relationship Id="rId5" Type="http://schemas.openxmlformats.org/officeDocument/2006/relationships/hyperlink" Target="https://thuvienphapluat.vn/van-ban/the-thao-y-te/quyet-dinh-4031-2001-qd-byt-che-do-giao-tiep-trong-co-so-kham-chua-benh-89334.aspx" TargetMode="External"/><Relationship Id="rId4" Type="http://schemas.openxmlformats.org/officeDocument/2006/relationships/hyperlink" Target="https://thuvienphapluat.vn/van-ban/bo-may-hanh-chinh/nghi-dinh-63-2012-nd-cp-quy-dinh-chuc-nang-nhiem-vu-quyen-han-va-co-cau-to-chuc-14685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3053</Words>
  <Characters>17407</Characters>
  <Application>Microsoft Office Word</Application>
  <DocSecurity>0</DocSecurity>
  <Lines>145</Lines>
  <Paragraphs>40</Paragraphs>
  <ScaleCrop>false</ScaleCrop>
  <Company/>
  <LinksUpToDate>false</LinksUpToDate>
  <CharactersWithSpaces>20420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2020-08-11T03:27:00Z</dcterms:created>
  <dcterms:modified xsi:type="dcterms:W3CDTF">2020-08-11T03:28:00Z</dcterms:modified>
</cp:coreProperties>
</file>