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ook w:val="01E0"/>
      </w:tblPr>
      <w:tblGrid>
        <w:gridCol w:w="3544"/>
        <w:gridCol w:w="5812"/>
      </w:tblGrid>
      <w:tr w:rsidR="00D67B39" w:rsidRPr="00F03783" w:rsidTr="00D67B39">
        <w:trPr>
          <w:trHeight w:val="851"/>
        </w:trPr>
        <w:tc>
          <w:tcPr>
            <w:tcW w:w="3544" w:type="dxa"/>
          </w:tcPr>
          <w:p w:rsidR="00D67B39" w:rsidRPr="00F03783" w:rsidRDefault="00D67B39" w:rsidP="00037AF7">
            <w:pPr>
              <w:pStyle w:val="BodyText"/>
              <w:spacing w:line="276" w:lineRule="auto"/>
              <w:jc w:val="center"/>
              <w:rPr>
                <w:bCs/>
                <w:sz w:val="26"/>
                <w:szCs w:val="26"/>
              </w:rPr>
            </w:pPr>
            <w:r w:rsidRPr="00F03783">
              <w:rPr>
                <w:bCs/>
                <w:sz w:val="26"/>
                <w:szCs w:val="26"/>
              </w:rPr>
              <w:t>SỞ Y TẾ NGHỆ AN</w:t>
            </w:r>
          </w:p>
          <w:p w:rsidR="00D67B39" w:rsidRPr="00EB329C" w:rsidRDefault="00A36ECC" w:rsidP="00037AF7">
            <w:pPr>
              <w:pStyle w:val="BodyText"/>
              <w:spacing w:line="276" w:lineRule="auto"/>
              <w:jc w:val="center"/>
              <w:rPr>
                <w:b/>
                <w:bCs/>
                <w:sz w:val="26"/>
                <w:szCs w:val="26"/>
              </w:rPr>
            </w:pPr>
            <w:r>
              <w:rPr>
                <w:b/>
                <w:bCs/>
                <w:noProof/>
                <w:sz w:val="26"/>
                <w:szCs w:val="26"/>
              </w:rPr>
              <w:pict>
                <v:line id="_x0000_s1026" style="position:absolute;left:0;text-align:left;z-index:251657216" from="61.2pt,17.3pt" to="106.2pt,17.3pt"/>
              </w:pict>
            </w:r>
            <w:r w:rsidR="00D67B39">
              <w:rPr>
                <w:b/>
                <w:bCs/>
                <w:noProof/>
                <w:sz w:val="26"/>
                <w:szCs w:val="26"/>
              </w:rPr>
              <w:t xml:space="preserve">TTYT </w:t>
            </w:r>
            <w:r w:rsidR="00D67B39" w:rsidRPr="00EB329C">
              <w:rPr>
                <w:b/>
                <w:bCs/>
                <w:sz w:val="26"/>
                <w:szCs w:val="26"/>
              </w:rPr>
              <w:t xml:space="preserve">QUỲ CHÂU  </w:t>
            </w:r>
          </w:p>
        </w:tc>
        <w:tc>
          <w:tcPr>
            <w:tcW w:w="5812" w:type="dxa"/>
          </w:tcPr>
          <w:p w:rsidR="00D67B39" w:rsidRPr="00F03783" w:rsidRDefault="00D67B39" w:rsidP="00037AF7">
            <w:pPr>
              <w:pStyle w:val="BodyText"/>
              <w:spacing w:line="276" w:lineRule="auto"/>
              <w:jc w:val="center"/>
              <w:rPr>
                <w:b/>
                <w:bCs/>
                <w:sz w:val="26"/>
                <w:szCs w:val="26"/>
              </w:rPr>
            </w:pPr>
            <w:r w:rsidRPr="00F03783">
              <w:rPr>
                <w:b/>
                <w:bCs/>
                <w:sz w:val="26"/>
                <w:szCs w:val="26"/>
              </w:rPr>
              <w:t xml:space="preserve">CỘNG HÒA XÃ HỘI CHỦ NGHĨA VIỆT </w:t>
            </w:r>
            <w:smartTag w:uri="urn:schemas-microsoft-com:office:smarttags" w:element="place">
              <w:smartTag w:uri="urn:schemas-microsoft-com:office:smarttags" w:element="country-region">
                <w:r w:rsidRPr="00F03783">
                  <w:rPr>
                    <w:b/>
                    <w:bCs/>
                    <w:sz w:val="26"/>
                    <w:szCs w:val="26"/>
                  </w:rPr>
                  <w:t>NAM</w:t>
                </w:r>
              </w:smartTag>
            </w:smartTag>
          </w:p>
          <w:p w:rsidR="00D67B39" w:rsidRPr="00F03783" w:rsidRDefault="00A36ECC" w:rsidP="00037AF7">
            <w:pPr>
              <w:pStyle w:val="BodyText"/>
              <w:spacing w:line="276" w:lineRule="auto"/>
              <w:jc w:val="center"/>
              <w:rPr>
                <w:b/>
                <w:bCs/>
                <w:sz w:val="26"/>
                <w:szCs w:val="26"/>
              </w:rPr>
            </w:pPr>
            <w:r w:rsidRPr="00A36ECC">
              <w:rPr>
                <w:noProof/>
                <w:sz w:val="26"/>
                <w:szCs w:val="26"/>
              </w:rPr>
              <w:pict>
                <v:line id="_x0000_s1027" style="position:absolute;left:0;text-align:left;z-index:251658240" from="74.5pt,16.95pt" to="218.5pt,16.95pt"/>
              </w:pict>
            </w:r>
            <w:r w:rsidR="00D67B39" w:rsidRPr="00F03783">
              <w:rPr>
                <w:b/>
                <w:sz w:val="26"/>
                <w:szCs w:val="26"/>
              </w:rPr>
              <w:t>Độc lập -  Tự do  -  Hạnh phúc</w:t>
            </w:r>
          </w:p>
        </w:tc>
      </w:tr>
    </w:tbl>
    <w:p w:rsidR="00D67B39" w:rsidRDefault="00D67B39" w:rsidP="00037AF7">
      <w:pPr>
        <w:pStyle w:val="BodyText"/>
        <w:spacing w:line="276" w:lineRule="auto"/>
        <w:rPr>
          <w:i/>
          <w:sz w:val="26"/>
          <w:szCs w:val="26"/>
        </w:rPr>
      </w:pPr>
      <w:r w:rsidRPr="00F03783">
        <w:rPr>
          <w:sz w:val="26"/>
          <w:szCs w:val="26"/>
        </w:rPr>
        <w:t xml:space="preserve">   </w:t>
      </w:r>
      <w:r>
        <w:rPr>
          <w:sz w:val="26"/>
          <w:szCs w:val="26"/>
        </w:rPr>
        <w:tab/>
      </w:r>
      <w:r w:rsidRPr="00F03783">
        <w:rPr>
          <w:sz w:val="26"/>
          <w:szCs w:val="26"/>
        </w:rPr>
        <w:t xml:space="preserve"> Số:  </w:t>
      </w:r>
      <w:r w:rsidR="003913F6">
        <w:rPr>
          <w:sz w:val="26"/>
          <w:szCs w:val="26"/>
        </w:rPr>
        <w:t xml:space="preserve">  </w:t>
      </w:r>
      <w:r>
        <w:rPr>
          <w:sz w:val="26"/>
          <w:szCs w:val="26"/>
        </w:rPr>
        <w:t>/GTr</w:t>
      </w:r>
      <w:r w:rsidRPr="00F03783">
        <w:rPr>
          <w:sz w:val="26"/>
          <w:szCs w:val="26"/>
        </w:rPr>
        <w:t>-</w:t>
      </w:r>
      <w:r>
        <w:rPr>
          <w:sz w:val="26"/>
          <w:szCs w:val="26"/>
        </w:rPr>
        <w:t>TTYT</w:t>
      </w:r>
      <w:r>
        <w:rPr>
          <w:sz w:val="26"/>
          <w:szCs w:val="26"/>
        </w:rPr>
        <w:tab/>
      </w:r>
      <w:r>
        <w:rPr>
          <w:sz w:val="26"/>
          <w:szCs w:val="26"/>
        </w:rPr>
        <w:tab/>
      </w:r>
      <w:r>
        <w:rPr>
          <w:sz w:val="26"/>
          <w:szCs w:val="26"/>
        </w:rPr>
        <w:tab/>
      </w:r>
      <w:r>
        <w:rPr>
          <w:sz w:val="26"/>
          <w:szCs w:val="26"/>
        </w:rPr>
        <w:tab/>
      </w:r>
      <w:r>
        <w:rPr>
          <w:i/>
          <w:sz w:val="26"/>
          <w:szCs w:val="26"/>
        </w:rPr>
        <w:t>Qu</w:t>
      </w:r>
      <w:r w:rsidRPr="00A5579A">
        <w:rPr>
          <w:i/>
          <w:sz w:val="26"/>
          <w:szCs w:val="26"/>
        </w:rPr>
        <w:t>ỳ</w:t>
      </w:r>
      <w:r>
        <w:rPr>
          <w:i/>
          <w:sz w:val="26"/>
          <w:szCs w:val="26"/>
        </w:rPr>
        <w:t xml:space="preserve"> ch</w:t>
      </w:r>
      <w:r w:rsidRPr="00A5579A">
        <w:rPr>
          <w:i/>
          <w:sz w:val="26"/>
          <w:szCs w:val="26"/>
        </w:rPr>
        <w:t>â</w:t>
      </w:r>
      <w:r>
        <w:rPr>
          <w:i/>
          <w:sz w:val="26"/>
          <w:szCs w:val="26"/>
        </w:rPr>
        <w:t xml:space="preserve">u, ngày  </w:t>
      </w:r>
      <w:r w:rsidR="003913F6">
        <w:rPr>
          <w:i/>
          <w:sz w:val="26"/>
          <w:szCs w:val="26"/>
        </w:rPr>
        <w:t>1</w:t>
      </w:r>
      <w:r w:rsidR="0038251E">
        <w:rPr>
          <w:i/>
          <w:sz w:val="26"/>
          <w:szCs w:val="26"/>
        </w:rPr>
        <w:t>2</w:t>
      </w:r>
      <w:r w:rsidRPr="00F03783">
        <w:rPr>
          <w:i/>
          <w:sz w:val="26"/>
          <w:szCs w:val="26"/>
        </w:rPr>
        <w:t xml:space="preserve">  tháng </w:t>
      </w:r>
      <w:r w:rsidR="0038251E">
        <w:rPr>
          <w:i/>
          <w:sz w:val="26"/>
          <w:szCs w:val="26"/>
        </w:rPr>
        <w:t>02</w:t>
      </w:r>
      <w:r w:rsidRPr="00F03783">
        <w:rPr>
          <w:i/>
          <w:sz w:val="26"/>
          <w:szCs w:val="26"/>
        </w:rPr>
        <w:t xml:space="preserve"> năm 20</w:t>
      </w:r>
      <w:r w:rsidR="0038251E">
        <w:rPr>
          <w:i/>
          <w:sz w:val="26"/>
          <w:szCs w:val="26"/>
        </w:rPr>
        <w:t>20</w:t>
      </w:r>
    </w:p>
    <w:p w:rsidR="00D67B39" w:rsidRPr="00723060" w:rsidRDefault="00D67B39" w:rsidP="00037AF7">
      <w:pPr>
        <w:tabs>
          <w:tab w:val="left" w:pos="4678"/>
          <w:tab w:val="left" w:pos="4820"/>
        </w:tabs>
        <w:spacing w:after="0"/>
        <w:ind w:right="4682"/>
        <w:jc w:val="center"/>
        <w:rPr>
          <w:rFonts w:ascii="Times New Roman" w:hAnsi="Times New Roman" w:cs="Times New Roman"/>
          <w:sz w:val="26"/>
          <w:szCs w:val="26"/>
        </w:rPr>
      </w:pPr>
      <w:r w:rsidRPr="00723060">
        <w:rPr>
          <w:rFonts w:ascii="Times New Roman" w:hAnsi="Times New Roman" w:cs="Times New Roman"/>
          <w:sz w:val="26"/>
          <w:szCs w:val="26"/>
        </w:rPr>
        <w:t xml:space="preserve">V/v giải trình những nội dung liên quan thanh toán chi phí khám chữa bệnh bảo hiểm y tế quý </w:t>
      </w:r>
      <w:r w:rsidR="0038251E">
        <w:rPr>
          <w:rFonts w:ascii="Times New Roman" w:hAnsi="Times New Roman" w:cs="Times New Roman"/>
          <w:sz w:val="26"/>
          <w:szCs w:val="26"/>
        </w:rPr>
        <w:t>4</w:t>
      </w:r>
      <w:r w:rsidRPr="00723060">
        <w:rPr>
          <w:rFonts w:ascii="Times New Roman" w:hAnsi="Times New Roman" w:cs="Times New Roman"/>
          <w:sz w:val="26"/>
          <w:szCs w:val="26"/>
        </w:rPr>
        <w:t xml:space="preserve"> năm 2019</w:t>
      </w:r>
    </w:p>
    <w:p w:rsidR="00D67B39" w:rsidRDefault="00D67B39" w:rsidP="00037AF7">
      <w:pPr>
        <w:spacing w:after="0"/>
        <w:ind w:right="4"/>
        <w:jc w:val="center"/>
        <w:rPr>
          <w:rFonts w:ascii="Times New Roman" w:hAnsi="Times New Roman" w:cs="Times New Roman"/>
          <w:sz w:val="28"/>
          <w:szCs w:val="28"/>
        </w:rPr>
      </w:pPr>
    </w:p>
    <w:p w:rsidR="00D67B39" w:rsidRDefault="00D67B39" w:rsidP="00037AF7">
      <w:pPr>
        <w:spacing w:after="0"/>
        <w:ind w:right="4"/>
        <w:rPr>
          <w:rFonts w:ascii="Times New Roman" w:hAnsi="Times New Roman" w:cs="Times New Roman"/>
          <w:sz w:val="28"/>
          <w:szCs w:val="28"/>
        </w:rPr>
      </w:pPr>
      <w:r>
        <w:rPr>
          <w:rFonts w:ascii="Times New Roman" w:hAnsi="Times New Roman" w:cs="Times New Roman"/>
          <w:sz w:val="28"/>
          <w:szCs w:val="28"/>
        </w:rPr>
        <w:tab/>
        <w:t>Kính gửi:</w:t>
      </w:r>
    </w:p>
    <w:p w:rsidR="00D67B39" w:rsidRPr="002008D4" w:rsidRDefault="00D67B39" w:rsidP="00037AF7">
      <w:pPr>
        <w:spacing w:after="0"/>
        <w:ind w:left="1440" w:right="4" w:firstLine="720"/>
        <w:rPr>
          <w:rFonts w:ascii="Times New Roman" w:hAnsi="Times New Roman" w:cs="Times New Roman"/>
          <w:sz w:val="28"/>
          <w:szCs w:val="28"/>
        </w:rPr>
      </w:pPr>
      <w:r>
        <w:rPr>
          <w:rFonts w:ascii="Times New Roman" w:hAnsi="Times New Roman" w:cs="Times New Roman"/>
          <w:sz w:val="28"/>
          <w:szCs w:val="28"/>
        </w:rPr>
        <w:t xml:space="preserve">- </w:t>
      </w:r>
      <w:r w:rsidRPr="002008D4">
        <w:rPr>
          <w:rFonts w:ascii="Times New Roman" w:hAnsi="Times New Roman" w:cs="Times New Roman"/>
          <w:sz w:val="28"/>
          <w:szCs w:val="28"/>
        </w:rPr>
        <w:t>Đoàn giám định chi phí KCB BHYT tại TTYT Quỳ Châu</w:t>
      </w:r>
    </w:p>
    <w:p w:rsidR="00D67B39" w:rsidRDefault="00D67B39" w:rsidP="00037AF7">
      <w:pPr>
        <w:spacing w:after="0"/>
        <w:ind w:right="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BHXH huyện Quỳ Châu</w:t>
      </w:r>
    </w:p>
    <w:p w:rsidR="00D67B39" w:rsidRPr="00B32FF6" w:rsidRDefault="00D67B39" w:rsidP="00037AF7">
      <w:pPr>
        <w:spacing w:after="0"/>
        <w:ind w:right="4"/>
        <w:jc w:val="both"/>
        <w:rPr>
          <w:rFonts w:ascii="Times New Roman" w:hAnsi="Times New Roman" w:cs="Times New Roman"/>
          <w:sz w:val="28"/>
          <w:szCs w:val="28"/>
        </w:rPr>
      </w:pPr>
    </w:p>
    <w:p w:rsidR="00D67B39" w:rsidRPr="00A048F4" w:rsidRDefault="00D67B39" w:rsidP="00037AF7">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A048F4">
        <w:rPr>
          <w:rFonts w:ascii="Times New Roman" w:hAnsi="Times New Roman" w:cs="Times New Roman"/>
          <w:sz w:val="28"/>
          <w:szCs w:val="28"/>
        </w:rPr>
        <w:t xml:space="preserve">Thực hiện Công văn số </w:t>
      </w:r>
      <w:r w:rsidR="0038251E" w:rsidRPr="00A048F4">
        <w:rPr>
          <w:rFonts w:ascii="Times New Roman" w:hAnsi="Times New Roman" w:cs="Times New Roman"/>
          <w:sz w:val="28"/>
          <w:szCs w:val="28"/>
        </w:rPr>
        <w:t>187</w:t>
      </w:r>
      <w:r w:rsidRPr="00A048F4">
        <w:rPr>
          <w:rFonts w:ascii="Times New Roman" w:hAnsi="Times New Roman" w:cs="Times New Roman"/>
          <w:sz w:val="28"/>
          <w:szCs w:val="28"/>
        </w:rPr>
        <w:t>/BHXH-GĐBHYT ngày 0</w:t>
      </w:r>
      <w:r w:rsidR="0038251E" w:rsidRPr="00A048F4">
        <w:rPr>
          <w:rFonts w:ascii="Times New Roman" w:hAnsi="Times New Roman" w:cs="Times New Roman"/>
          <w:sz w:val="28"/>
          <w:szCs w:val="28"/>
        </w:rPr>
        <w:t>7</w:t>
      </w:r>
      <w:r w:rsidRPr="00A048F4">
        <w:rPr>
          <w:rFonts w:ascii="Times New Roman" w:hAnsi="Times New Roman" w:cs="Times New Roman"/>
          <w:sz w:val="28"/>
          <w:szCs w:val="28"/>
        </w:rPr>
        <w:t xml:space="preserve"> tháng </w:t>
      </w:r>
      <w:r w:rsidR="0038251E" w:rsidRPr="00A048F4">
        <w:rPr>
          <w:rFonts w:ascii="Times New Roman" w:hAnsi="Times New Roman" w:cs="Times New Roman"/>
          <w:sz w:val="28"/>
          <w:szCs w:val="28"/>
        </w:rPr>
        <w:t>02</w:t>
      </w:r>
      <w:r w:rsidRPr="00A048F4">
        <w:rPr>
          <w:rFonts w:ascii="Times New Roman" w:hAnsi="Times New Roman" w:cs="Times New Roman"/>
          <w:sz w:val="28"/>
          <w:szCs w:val="28"/>
        </w:rPr>
        <w:t xml:space="preserve"> năm 20</w:t>
      </w:r>
      <w:r w:rsidR="0038251E" w:rsidRPr="00A048F4">
        <w:rPr>
          <w:rFonts w:ascii="Times New Roman" w:hAnsi="Times New Roman" w:cs="Times New Roman"/>
          <w:sz w:val="28"/>
          <w:szCs w:val="28"/>
        </w:rPr>
        <w:t>20</w:t>
      </w:r>
      <w:r w:rsidRPr="00A048F4">
        <w:rPr>
          <w:rFonts w:ascii="Times New Roman" w:hAnsi="Times New Roman" w:cs="Times New Roman"/>
          <w:sz w:val="28"/>
          <w:szCs w:val="28"/>
        </w:rPr>
        <w:t xml:space="preserve"> của BHXH tỉnh Nghệ An về việc giám định các nội dung chưa đúng quy định trong thanh toán chi phí KCB BHYT Quý </w:t>
      </w:r>
      <w:r w:rsidR="0038251E" w:rsidRPr="00A048F4">
        <w:rPr>
          <w:rFonts w:ascii="Times New Roman" w:hAnsi="Times New Roman" w:cs="Times New Roman"/>
          <w:sz w:val="28"/>
          <w:szCs w:val="28"/>
        </w:rPr>
        <w:t>4</w:t>
      </w:r>
      <w:r w:rsidRPr="00A048F4">
        <w:rPr>
          <w:rFonts w:ascii="Times New Roman" w:hAnsi="Times New Roman" w:cs="Times New Roman"/>
          <w:sz w:val="28"/>
          <w:szCs w:val="28"/>
        </w:rPr>
        <w:t xml:space="preserve"> năm 2019.</w:t>
      </w:r>
    </w:p>
    <w:p w:rsidR="00D67B39" w:rsidRPr="00A048F4" w:rsidRDefault="00D67B39" w:rsidP="00037AF7">
      <w:pPr>
        <w:spacing w:after="0"/>
        <w:ind w:firstLine="720"/>
        <w:jc w:val="both"/>
        <w:rPr>
          <w:rFonts w:ascii="Times New Roman" w:hAnsi="Times New Roman" w:cs="Times New Roman"/>
          <w:sz w:val="28"/>
          <w:szCs w:val="28"/>
        </w:rPr>
      </w:pPr>
      <w:r w:rsidRPr="00A048F4">
        <w:rPr>
          <w:rFonts w:ascii="Times New Roman" w:hAnsi="Times New Roman" w:cs="Times New Roman"/>
          <w:sz w:val="28"/>
          <w:szCs w:val="28"/>
        </w:rPr>
        <w:t>Sau khi có kết quả sơ bộ từ bộ phận giám định KCB BHYT, đơn vị TTYT Quỳ Châu đã rà soát, đối chiếu với những quy định, danh mục kỹ thuật do Bộ Y tế ban hành và có một số ý kiến với những nội dung như sau:</w:t>
      </w:r>
    </w:p>
    <w:p w:rsidR="008F4ED3" w:rsidRPr="00A048F4" w:rsidRDefault="007E794E" w:rsidP="00037AF7">
      <w:pPr>
        <w:spacing w:after="0"/>
        <w:ind w:firstLine="357"/>
        <w:jc w:val="both"/>
        <w:rPr>
          <w:rFonts w:ascii="Times New Roman" w:hAnsi="Times New Roman" w:cs="Times New Roman"/>
          <w:b/>
          <w:i/>
          <w:sz w:val="28"/>
          <w:szCs w:val="28"/>
        </w:rPr>
      </w:pPr>
      <w:r w:rsidRPr="00A048F4">
        <w:rPr>
          <w:rFonts w:ascii="Times New Roman" w:hAnsi="Times New Roman" w:cs="Times New Roman"/>
          <w:b/>
          <w:sz w:val="28"/>
          <w:szCs w:val="28"/>
        </w:rPr>
        <w:t xml:space="preserve">1. </w:t>
      </w:r>
      <w:r w:rsidR="005F585F" w:rsidRPr="00A048F4">
        <w:rPr>
          <w:rFonts w:ascii="Times New Roman" w:hAnsi="Times New Roman" w:cs="Times New Roman"/>
          <w:b/>
          <w:sz w:val="28"/>
          <w:szCs w:val="28"/>
        </w:rPr>
        <w:t>Protein TP:</w:t>
      </w:r>
      <w:r w:rsidR="005F585F" w:rsidRPr="00A048F4">
        <w:rPr>
          <w:rFonts w:ascii="Times New Roman" w:hAnsi="Times New Roman" w:cs="Times New Roman"/>
          <w:sz w:val="28"/>
          <w:szCs w:val="28"/>
        </w:rPr>
        <w:t xml:space="preserve"> chỉ định hợp lý </w:t>
      </w:r>
      <w:r w:rsidR="0038251E" w:rsidRPr="00A048F4">
        <w:rPr>
          <w:rFonts w:ascii="Times New Roman" w:hAnsi="Times New Roman" w:cs="Times New Roman"/>
          <w:sz w:val="28"/>
          <w:szCs w:val="28"/>
        </w:rPr>
        <w:t>đối với các mã bệ</w:t>
      </w:r>
      <w:r w:rsidR="00261DF6" w:rsidRPr="00A048F4">
        <w:rPr>
          <w:rFonts w:ascii="Times New Roman" w:hAnsi="Times New Roman" w:cs="Times New Roman"/>
          <w:sz w:val="28"/>
          <w:szCs w:val="28"/>
        </w:rPr>
        <w:t>nh R64-</w:t>
      </w:r>
      <w:r w:rsidR="0038251E" w:rsidRPr="00A048F4">
        <w:rPr>
          <w:rFonts w:ascii="Times New Roman" w:hAnsi="Times New Roman" w:cs="Times New Roman"/>
          <w:sz w:val="28"/>
          <w:szCs w:val="28"/>
        </w:rPr>
        <w:t xml:space="preserve"> suy mòn; </w:t>
      </w:r>
      <w:r w:rsidR="005F585F" w:rsidRPr="00A048F4">
        <w:rPr>
          <w:rFonts w:ascii="Times New Roman" w:hAnsi="Times New Roman" w:cs="Times New Roman"/>
          <w:sz w:val="28"/>
          <w:szCs w:val="28"/>
        </w:rPr>
        <w:t>R53-Khó ở và mệt mỏi ; R35</w:t>
      </w:r>
      <w:r w:rsidR="00261DF6" w:rsidRPr="00A048F4">
        <w:rPr>
          <w:rFonts w:ascii="Times New Roman" w:hAnsi="Times New Roman" w:cs="Times New Roman"/>
          <w:sz w:val="28"/>
          <w:szCs w:val="28"/>
        </w:rPr>
        <w:t xml:space="preserve">- </w:t>
      </w:r>
      <w:r w:rsidR="005F585F" w:rsidRPr="00A048F4">
        <w:rPr>
          <w:rFonts w:ascii="Times New Roman" w:hAnsi="Times New Roman" w:cs="Times New Roman"/>
          <w:sz w:val="28"/>
          <w:szCs w:val="28"/>
        </w:rPr>
        <w:t xml:space="preserve">Đa niệu; </w:t>
      </w:r>
      <w:r w:rsidR="00261DF6" w:rsidRPr="00A048F4">
        <w:rPr>
          <w:rFonts w:ascii="Times New Roman" w:hAnsi="Times New Roman" w:cs="Times New Roman"/>
          <w:sz w:val="28"/>
          <w:szCs w:val="28"/>
        </w:rPr>
        <w:t xml:space="preserve">Các bệnh về gan, thận… </w:t>
      </w:r>
      <w:r w:rsidR="00261DF6" w:rsidRPr="00A048F4">
        <w:rPr>
          <w:rFonts w:ascii="Times New Roman" w:hAnsi="Times New Roman" w:cs="Times New Roman"/>
          <w:b/>
          <w:i/>
          <w:sz w:val="28"/>
          <w:szCs w:val="28"/>
        </w:rPr>
        <w:t>Không đồng ý xuất toán 15/49 ca.</w:t>
      </w:r>
    </w:p>
    <w:p w:rsidR="007E794E" w:rsidRPr="00A048F4" w:rsidRDefault="007E794E" w:rsidP="00037AF7">
      <w:pPr>
        <w:spacing w:after="0"/>
        <w:ind w:firstLine="357"/>
        <w:jc w:val="both"/>
        <w:rPr>
          <w:rFonts w:ascii="Times New Roman" w:hAnsi="Times New Roman" w:cs="Times New Roman"/>
          <w:i/>
          <w:sz w:val="28"/>
          <w:szCs w:val="28"/>
        </w:rPr>
      </w:pPr>
      <w:r w:rsidRPr="00A048F4">
        <w:rPr>
          <w:rFonts w:ascii="Times New Roman" w:hAnsi="Times New Roman" w:cs="Times New Roman"/>
          <w:b/>
          <w:sz w:val="28"/>
          <w:szCs w:val="28"/>
        </w:rPr>
        <w:t xml:space="preserve">2. </w:t>
      </w:r>
      <w:r w:rsidR="0011080E" w:rsidRPr="00A048F4">
        <w:rPr>
          <w:rFonts w:ascii="Times New Roman" w:hAnsi="Times New Roman" w:cs="Times New Roman"/>
          <w:b/>
          <w:sz w:val="28"/>
          <w:szCs w:val="28"/>
        </w:rPr>
        <w:t>GOT:</w:t>
      </w:r>
      <w:r w:rsidR="0011080E" w:rsidRPr="00A048F4">
        <w:rPr>
          <w:rFonts w:ascii="Times New Roman" w:hAnsi="Times New Roman" w:cs="Times New Roman"/>
          <w:sz w:val="28"/>
          <w:szCs w:val="28"/>
        </w:rPr>
        <w:t xml:space="preserve"> </w:t>
      </w:r>
      <w:r w:rsidR="00527AB9" w:rsidRPr="00A048F4">
        <w:rPr>
          <w:rFonts w:ascii="Times New Roman" w:hAnsi="Times New Roman" w:cs="Times New Roman"/>
          <w:sz w:val="28"/>
          <w:szCs w:val="28"/>
        </w:rPr>
        <w:t>chỉ định hợp lý đối với những trường hợp: tiếp xúc với các loại ong;</w:t>
      </w:r>
      <w:r w:rsidR="00430AE3" w:rsidRPr="00A048F4">
        <w:rPr>
          <w:rFonts w:ascii="Times New Roman" w:hAnsi="Times New Roman" w:cs="Times New Roman"/>
          <w:sz w:val="28"/>
          <w:szCs w:val="28"/>
        </w:rPr>
        <w:t xml:space="preserve"> mệt mỏi khó ở,</w:t>
      </w:r>
      <w:r w:rsidR="00527AB9" w:rsidRPr="00A048F4">
        <w:rPr>
          <w:rFonts w:ascii="Times New Roman" w:hAnsi="Times New Roman" w:cs="Times New Roman"/>
          <w:sz w:val="28"/>
          <w:szCs w:val="28"/>
        </w:rPr>
        <w:t xml:space="preserve"> suy mòn; bệnh nhân phẫu thuật, ...</w:t>
      </w:r>
      <w:r w:rsidR="00527AB9" w:rsidRPr="00A048F4">
        <w:rPr>
          <w:rFonts w:ascii="Times New Roman" w:hAnsi="Times New Roman" w:cs="Times New Roman"/>
          <w:b/>
          <w:i/>
          <w:sz w:val="28"/>
          <w:szCs w:val="28"/>
        </w:rPr>
        <w:t>không đồng ý xuất toán 12/14 ca</w:t>
      </w:r>
    </w:p>
    <w:p w:rsidR="008E02F0" w:rsidRPr="00A048F4" w:rsidRDefault="00430AE3" w:rsidP="00037AF7">
      <w:pPr>
        <w:spacing w:after="0"/>
        <w:ind w:firstLine="357"/>
        <w:jc w:val="both"/>
        <w:rPr>
          <w:rFonts w:ascii="Times New Roman" w:hAnsi="Times New Roman" w:cs="Times New Roman"/>
          <w:b/>
          <w:i/>
          <w:sz w:val="28"/>
          <w:szCs w:val="28"/>
        </w:rPr>
      </w:pPr>
      <w:r w:rsidRPr="00A048F4">
        <w:rPr>
          <w:rFonts w:ascii="Times New Roman" w:hAnsi="Times New Roman" w:cs="Times New Roman"/>
          <w:b/>
          <w:sz w:val="28"/>
          <w:szCs w:val="28"/>
        </w:rPr>
        <w:t>3. GPT:</w:t>
      </w:r>
      <w:r w:rsidRPr="00A048F4">
        <w:rPr>
          <w:rFonts w:ascii="Times New Roman" w:hAnsi="Times New Roman" w:cs="Times New Roman"/>
          <w:sz w:val="28"/>
          <w:szCs w:val="28"/>
        </w:rPr>
        <w:t xml:space="preserve"> </w:t>
      </w:r>
      <w:r w:rsidR="00A759E8" w:rsidRPr="00A048F4">
        <w:rPr>
          <w:rFonts w:ascii="Times New Roman" w:hAnsi="Times New Roman" w:cs="Times New Roman"/>
          <w:sz w:val="28"/>
          <w:szCs w:val="28"/>
        </w:rPr>
        <w:t xml:space="preserve"> GPT tăng trong các bệnh về tim, nên các BN đau thắt ngực, tăng huyết áp (bệnh tim mạch) chỉ định xét n</w:t>
      </w:r>
      <w:r w:rsidR="00225949" w:rsidRPr="00A048F4">
        <w:rPr>
          <w:rFonts w:ascii="Times New Roman" w:hAnsi="Times New Roman" w:cs="Times New Roman"/>
          <w:sz w:val="28"/>
          <w:szCs w:val="28"/>
        </w:rPr>
        <w:t>g</w:t>
      </w:r>
      <w:r w:rsidR="00A759E8" w:rsidRPr="00A048F4">
        <w:rPr>
          <w:rFonts w:ascii="Times New Roman" w:hAnsi="Times New Roman" w:cs="Times New Roman"/>
          <w:sz w:val="28"/>
          <w:szCs w:val="28"/>
        </w:rPr>
        <w:t>hiệm GPT là hợp lý;</w:t>
      </w:r>
      <w:r w:rsidR="008E02F0" w:rsidRPr="00A048F4">
        <w:rPr>
          <w:rFonts w:ascii="Times New Roman" w:hAnsi="Times New Roman" w:cs="Times New Roman"/>
          <w:sz w:val="28"/>
          <w:szCs w:val="28"/>
        </w:rPr>
        <w:t xml:space="preserve"> đau bụng (phân biệt với viêm túi mật, viêm tụy,…), khó ở mệt mỏi là một trong những triệu chứng của bệnh viêm gan,…</w:t>
      </w:r>
      <w:r w:rsidR="00B74FB4" w:rsidRPr="00A048F4">
        <w:rPr>
          <w:rFonts w:ascii="Times New Roman" w:hAnsi="Times New Roman" w:cs="Times New Roman"/>
          <w:sz w:val="28"/>
          <w:szCs w:val="28"/>
        </w:rPr>
        <w:t xml:space="preserve">bên cạnh đó, để an toàn người bệnh trong các trường hợp phẫu thuật, ca đẻ thì chỉ định làm xét nghiệm GPT </w:t>
      </w:r>
      <w:r w:rsidR="008E02F0" w:rsidRPr="00A048F4">
        <w:rPr>
          <w:rFonts w:ascii="Times New Roman" w:hAnsi="Times New Roman" w:cs="Times New Roman"/>
          <w:sz w:val="28"/>
          <w:szCs w:val="28"/>
        </w:rPr>
        <w:t>là phù hợ</w:t>
      </w:r>
      <w:r w:rsidR="00A759E8" w:rsidRPr="00A048F4">
        <w:rPr>
          <w:rFonts w:ascii="Times New Roman" w:hAnsi="Times New Roman" w:cs="Times New Roman"/>
          <w:sz w:val="28"/>
          <w:szCs w:val="28"/>
        </w:rPr>
        <w:t>p</w:t>
      </w:r>
      <w:r w:rsidR="008E02F0" w:rsidRPr="00A048F4">
        <w:rPr>
          <w:rFonts w:ascii="Times New Roman" w:hAnsi="Times New Roman" w:cs="Times New Roman"/>
          <w:sz w:val="28"/>
          <w:szCs w:val="28"/>
        </w:rPr>
        <w:t xml:space="preserve"> với QĐ số 320/QĐ-BYT ngày 23/01/2014</w:t>
      </w:r>
      <w:r w:rsidR="00B74FB4" w:rsidRPr="00A048F4">
        <w:rPr>
          <w:rFonts w:ascii="Times New Roman" w:hAnsi="Times New Roman" w:cs="Times New Roman"/>
          <w:sz w:val="28"/>
          <w:szCs w:val="28"/>
        </w:rPr>
        <w:t xml:space="preserve">. </w:t>
      </w:r>
      <w:r w:rsidR="00B74FB4" w:rsidRPr="00A048F4">
        <w:rPr>
          <w:rFonts w:ascii="Times New Roman" w:hAnsi="Times New Roman" w:cs="Times New Roman"/>
          <w:b/>
          <w:i/>
          <w:sz w:val="28"/>
          <w:szCs w:val="28"/>
        </w:rPr>
        <w:t>Không đồng ý xuất toán 48/58 ca.</w:t>
      </w:r>
    </w:p>
    <w:p w:rsidR="00D71396" w:rsidRPr="00A048F4" w:rsidRDefault="00182E86" w:rsidP="00037AF7">
      <w:pPr>
        <w:spacing w:after="0"/>
        <w:ind w:firstLine="357"/>
        <w:jc w:val="both"/>
        <w:rPr>
          <w:rFonts w:ascii="Times New Roman" w:hAnsi="Times New Roman" w:cs="Times New Roman"/>
          <w:b/>
          <w:i/>
          <w:sz w:val="28"/>
          <w:szCs w:val="28"/>
        </w:rPr>
      </w:pPr>
      <w:r w:rsidRPr="00A048F4">
        <w:rPr>
          <w:rFonts w:ascii="Times New Roman" w:hAnsi="Times New Roman" w:cs="Times New Roman"/>
          <w:b/>
          <w:sz w:val="28"/>
          <w:szCs w:val="28"/>
        </w:rPr>
        <w:t>4. Siêu âm ổ bụng:</w:t>
      </w:r>
      <w:r w:rsidR="00B74FB4" w:rsidRPr="00A048F4">
        <w:rPr>
          <w:rFonts w:ascii="Times New Roman" w:hAnsi="Times New Roman" w:cs="Times New Roman"/>
          <w:sz w:val="28"/>
          <w:szCs w:val="28"/>
        </w:rPr>
        <w:t xml:space="preserve"> chỉ định siêu âm ổ bụng cho trường hợp Táo bón (người lớn, nữ) là hợp lý vì bệnh nhân đau bụng hố chậu trái. </w:t>
      </w:r>
      <w:r w:rsidR="00B74FB4" w:rsidRPr="00A048F4">
        <w:rPr>
          <w:rFonts w:ascii="Times New Roman" w:hAnsi="Times New Roman" w:cs="Times New Roman"/>
          <w:b/>
          <w:i/>
          <w:sz w:val="28"/>
          <w:szCs w:val="28"/>
        </w:rPr>
        <w:t>Không đồng ý xuất toán 1/3 ca.</w:t>
      </w:r>
    </w:p>
    <w:p w:rsidR="00842465" w:rsidRPr="00A048F4" w:rsidRDefault="00454911" w:rsidP="00037AF7">
      <w:pPr>
        <w:spacing w:after="0"/>
        <w:ind w:firstLine="357"/>
        <w:jc w:val="both"/>
        <w:rPr>
          <w:rFonts w:ascii="Times New Roman" w:hAnsi="Times New Roman" w:cs="Times New Roman"/>
          <w:b/>
          <w:i/>
          <w:sz w:val="28"/>
          <w:szCs w:val="28"/>
        </w:rPr>
      </w:pPr>
      <w:r w:rsidRPr="00A048F4">
        <w:rPr>
          <w:rFonts w:ascii="Times New Roman" w:hAnsi="Times New Roman" w:cs="Times New Roman"/>
          <w:b/>
          <w:sz w:val="28"/>
          <w:szCs w:val="28"/>
        </w:rPr>
        <w:t>5. Xquang</w:t>
      </w:r>
      <w:r w:rsidR="00681FE6" w:rsidRPr="00A048F4">
        <w:rPr>
          <w:rFonts w:ascii="Times New Roman" w:hAnsi="Times New Roman" w:cs="Times New Roman"/>
          <w:b/>
          <w:sz w:val="28"/>
          <w:szCs w:val="28"/>
        </w:rPr>
        <w:t xml:space="preserve"> ngực</w:t>
      </w:r>
      <w:r w:rsidRPr="00A048F4">
        <w:rPr>
          <w:rFonts w:ascii="Times New Roman" w:hAnsi="Times New Roman" w:cs="Times New Roman"/>
          <w:b/>
          <w:sz w:val="28"/>
          <w:szCs w:val="28"/>
        </w:rPr>
        <w:t>:</w:t>
      </w:r>
      <w:r w:rsidRPr="00A048F4">
        <w:rPr>
          <w:rFonts w:ascii="Times New Roman" w:hAnsi="Times New Roman" w:cs="Times New Roman"/>
          <w:sz w:val="28"/>
          <w:szCs w:val="28"/>
        </w:rPr>
        <w:t xml:space="preserve"> trường hợp bệnh nhân </w:t>
      </w:r>
      <w:r w:rsidR="009D33BF" w:rsidRPr="00A048F4">
        <w:rPr>
          <w:rFonts w:ascii="Times New Roman" w:hAnsi="Times New Roman" w:cs="Times New Roman"/>
          <w:sz w:val="28"/>
          <w:szCs w:val="28"/>
        </w:rPr>
        <w:t>cao huyết áp, bệnh nhân phẫu thuật và những bệnh nhân đa chấn thương, chấn thương chưa xác định do tai nạn…</w:t>
      </w:r>
      <w:r w:rsidRPr="00A048F4">
        <w:rPr>
          <w:rFonts w:ascii="Times New Roman" w:hAnsi="Times New Roman" w:cs="Times New Roman"/>
          <w:sz w:val="28"/>
          <w:szCs w:val="28"/>
        </w:rPr>
        <w:t xml:space="preserve"> chỉ định Xquang tim phổi là hợp lý ; những trường hợp còn lại thống nhất với BH.</w:t>
      </w:r>
      <w:r w:rsidR="009D33BF" w:rsidRPr="00A048F4">
        <w:rPr>
          <w:rFonts w:ascii="Times New Roman" w:hAnsi="Times New Roman" w:cs="Times New Roman"/>
          <w:sz w:val="28"/>
          <w:szCs w:val="28"/>
        </w:rPr>
        <w:t xml:space="preserve"> </w:t>
      </w:r>
      <w:r w:rsidR="009D33BF" w:rsidRPr="00A048F4">
        <w:rPr>
          <w:rFonts w:ascii="Times New Roman" w:hAnsi="Times New Roman" w:cs="Times New Roman"/>
          <w:b/>
          <w:i/>
          <w:sz w:val="28"/>
          <w:szCs w:val="28"/>
        </w:rPr>
        <w:t>Không đồng ý xuất toán 14/17 ca.</w:t>
      </w:r>
    </w:p>
    <w:p w:rsidR="009E3710" w:rsidRPr="00A048F4" w:rsidRDefault="008033DB" w:rsidP="00037AF7">
      <w:pPr>
        <w:spacing w:after="0"/>
        <w:ind w:firstLine="357"/>
        <w:jc w:val="both"/>
        <w:rPr>
          <w:rFonts w:ascii="Times New Roman" w:eastAsia="Times New Roman" w:hAnsi="Times New Roman" w:cs="Times New Roman"/>
          <w:b/>
          <w:i/>
          <w:sz w:val="28"/>
          <w:szCs w:val="28"/>
        </w:rPr>
      </w:pPr>
      <w:r w:rsidRPr="00A048F4">
        <w:rPr>
          <w:rFonts w:ascii="Times New Roman" w:eastAsia="Times New Roman" w:hAnsi="Times New Roman" w:cs="Times New Roman"/>
          <w:b/>
          <w:sz w:val="28"/>
          <w:szCs w:val="28"/>
        </w:rPr>
        <w:lastRenderedPageBreak/>
        <w:t>6.</w:t>
      </w:r>
      <w:r w:rsidR="00607597" w:rsidRPr="00A048F4">
        <w:rPr>
          <w:rFonts w:ascii="Times New Roman" w:eastAsia="Times New Roman" w:hAnsi="Times New Roman" w:cs="Times New Roman"/>
          <w:b/>
          <w:sz w:val="28"/>
          <w:szCs w:val="28"/>
        </w:rPr>
        <w:t xml:space="preserve"> </w:t>
      </w:r>
      <w:r w:rsidRPr="00A048F4">
        <w:rPr>
          <w:rFonts w:ascii="Times New Roman" w:eastAsia="Times New Roman" w:hAnsi="Times New Roman" w:cs="Times New Roman"/>
          <w:b/>
          <w:sz w:val="28"/>
          <w:szCs w:val="28"/>
        </w:rPr>
        <w:t>Nặn tuyến bờ mi:</w:t>
      </w:r>
      <w:r w:rsidRPr="00A048F4">
        <w:rPr>
          <w:rFonts w:ascii="Times New Roman" w:eastAsia="Times New Roman" w:hAnsi="Times New Roman" w:cs="Times New Roman"/>
          <w:sz w:val="28"/>
          <w:szCs w:val="28"/>
        </w:rPr>
        <w:t xml:space="preserve"> k</w:t>
      </w:r>
      <w:r w:rsidR="009E3710" w:rsidRPr="00A048F4">
        <w:rPr>
          <w:rFonts w:ascii="Times New Roman" w:eastAsia="Times New Roman" w:hAnsi="Times New Roman" w:cs="Times New Roman"/>
          <w:sz w:val="28"/>
          <w:szCs w:val="28"/>
        </w:rPr>
        <w:t xml:space="preserve">hông đồng ý xuất toán vì theo ICD 10 thì chỉ có mã bệnh H01.0 (viêm bờ mi), không có </w:t>
      </w:r>
      <w:r w:rsidR="003913F6" w:rsidRPr="00A048F4">
        <w:rPr>
          <w:rFonts w:ascii="Times New Roman" w:eastAsia="Times New Roman" w:hAnsi="Times New Roman" w:cs="Times New Roman"/>
          <w:sz w:val="28"/>
          <w:szCs w:val="28"/>
        </w:rPr>
        <w:t>mã bệnh viêm</w:t>
      </w:r>
      <w:r w:rsidRPr="00A048F4">
        <w:rPr>
          <w:rFonts w:ascii="Times New Roman" w:eastAsia="Times New Roman" w:hAnsi="Times New Roman" w:cs="Times New Roman"/>
          <w:sz w:val="28"/>
          <w:szCs w:val="28"/>
        </w:rPr>
        <w:t xml:space="preserve"> tuyến bờ mi</w:t>
      </w:r>
      <w:r w:rsidR="009E3710" w:rsidRPr="00A048F4">
        <w:rPr>
          <w:rFonts w:ascii="Times New Roman" w:eastAsia="Times New Roman" w:hAnsi="Times New Roman" w:cs="Times New Roman"/>
          <w:sz w:val="28"/>
          <w:szCs w:val="28"/>
        </w:rPr>
        <w:t xml:space="preserve"> mãn tính theo như QĐ 3906/QĐ-BYT ngày 12/10/2012  (</w:t>
      </w:r>
      <w:r w:rsidR="009B5BF9" w:rsidRPr="00A048F4">
        <w:rPr>
          <w:rFonts w:ascii="Times New Roman" w:eastAsia="Times New Roman" w:hAnsi="Times New Roman" w:cs="Times New Roman"/>
          <w:sz w:val="28"/>
          <w:szCs w:val="28"/>
        </w:rPr>
        <w:t>2</w:t>
      </w:r>
      <w:r w:rsidR="009E3710" w:rsidRPr="00A048F4">
        <w:rPr>
          <w:rFonts w:ascii="Times New Roman" w:eastAsia="Times New Roman" w:hAnsi="Times New Roman" w:cs="Times New Roman"/>
          <w:sz w:val="28"/>
          <w:szCs w:val="28"/>
        </w:rPr>
        <w:t xml:space="preserve"> trường hợp)</w:t>
      </w:r>
      <w:r w:rsidR="003913F6" w:rsidRPr="00A048F4">
        <w:rPr>
          <w:rFonts w:ascii="Times New Roman" w:eastAsia="Times New Roman" w:hAnsi="Times New Roman" w:cs="Times New Roman"/>
          <w:sz w:val="28"/>
          <w:szCs w:val="28"/>
        </w:rPr>
        <w:t>.</w:t>
      </w:r>
      <w:r w:rsidR="00607597" w:rsidRPr="00A048F4">
        <w:rPr>
          <w:rFonts w:ascii="Times New Roman" w:eastAsia="Times New Roman" w:hAnsi="Times New Roman" w:cs="Times New Roman"/>
          <w:sz w:val="28"/>
          <w:szCs w:val="28"/>
        </w:rPr>
        <w:t xml:space="preserve"> </w:t>
      </w:r>
      <w:r w:rsidR="003913F6" w:rsidRPr="00A048F4">
        <w:rPr>
          <w:rFonts w:ascii="Times New Roman" w:eastAsia="Times New Roman" w:hAnsi="Times New Roman" w:cs="Times New Roman"/>
          <w:sz w:val="28"/>
          <w:szCs w:val="28"/>
        </w:rPr>
        <w:t xml:space="preserve"> Ở quý 2</w:t>
      </w:r>
      <w:r w:rsidR="009B5BF9" w:rsidRPr="00A048F4">
        <w:rPr>
          <w:rFonts w:ascii="Times New Roman" w:eastAsia="Times New Roman" w:hAnsi="Times New Roman" w:cs="Times New Roman"/>
          <w:sz w:val="28"/>
          <w:szCs w:val="28"/>
        </w:rPr>
        <w:t xml:space="preserve"> và 3</w:t>
      </w:r>
      <w:r w:rsidR="003913F6" w:rsidRPr="00A048F4">
        <w:rPr>
          <w:rFonts w:ascii="Times New Roman" w:eastAsia="Times New Roman" w:hAnsi="Times New Roman" w:cs="Times New Roman"/>
          <w:sz w:val="28"/>
          <w:szCs w:val="28"/>
        </w:rPr>
        <w:t xml:space="preserve"> BH cũng đưa nội dung này ra cảnh báo nhưng chưa thống nhất được phương án, vậy nên những hồ sơ đã thực hiện thủ thuật cho đến thời điểm này (tháng 11/2019) thì bảo hiểm chưa được xuất toán, chỉ khi thống nhất được (ví dụ: bác sỹ ghi thêm từ “mạn tính” vào sau mã bệnh viêm bờ mi đối với những trường hợp viêm bờ mi mạn tính) thì lúc đó nếu </w:t>
      </w:r>
      <w:r w:rsidR="00254AD1" w:rsidRPr="00A048F4">
        <w:rPr>
          <w:rFonts w:ascii="Times New Roman" w:eastAsia="Times New Roman" w:hAnsi="Times New Roman" w:cs="Times New Roman"/>
          <w:sz w:val="28"/>
          <w:szCs w:val="28"/>
        </w:rPr>
        <w:t>bác sỹ chỉ định sai thì BH mới được xuất toán.</w:t>
      </w:r>
      <w:r w:rsidR="009B5BF9" w:rsidRPr="00A048F4">
        <w:rPr>
          <w:rFonts w:ascii="Times New Roman" w:eastAsia="Times New Roman" w:hAnsi="Times New Roman" w:cs="Times New Roman"/>
          <w:sz w:val="28"/>
          <w:szCs w:val="28"/>
        </w:rPr>
        <w:t xml:space="preserve"> Và thực tế bác sỹ cũng chỉ thực hiện kỹ thuật nặn bờ mi đối với những trường hợp viêm bờ mi mạn tính</w:t>
      </w:r>
      <w:r w:rsidR="009B5BF9" w:rsidRPr="00A048F4">
        <w:rPr>
          <w:rFonts w:ascii="Times New Roman" w:eastAsia="Times New Roman" w:hAnsi="Times New Roman" w:cs="Times New Roman"/>
          <w:i/>
          <w:sz w:val="28"/>
          <w:szCs w:val="28"/>
        </w:rPr>
        <w:t xml:space="preserve">. </w:t>
      </w:r>
      <w:r w:rsidR="009B5BF9" w:rsidRPr="00A048F4">
        <w:rPr>
          <w:rFonts w:ascii="Times New Roman" w:eastAsia="Times New Roman" w:hAnsi="Times New Roman" w:cs="Times New Roman"/>
          <w:b/>
          <w:i/>
          <w:sz w:val="28"/>
          <w:szCs w:val="28"/>
        </w:rPr>
        <w:t>Không đồng ý xuất toán 2/2 trường hợp.</w:t>
      </w:r>
    </w:p>
    <w:p w:rsidR="007D3FD1" w:rsidRPr="00A048F4" w:rsidRDefault="009B5BF9" w:rsidP="00037AF7">
      <w:pPr>
        <w:spacing w:after="0"/>
        <w:ind w:firstLine="357"/>
        <w:jc w:val="both"/>
        <w:rPr>
          <w:rFonts w:ascii="Times New Roman" w:eastAsia="Times New Roman" w:hAnsi="Times New Roman" w:cs="Times New Roman"/>
          <w:b/>
          <w:i/>
          <w:sz w:val="28"/>
          <w:szCs w:val="28"/>
        </w:rPr>
      </w:pPr>
      <w:r w:rsidRPr="00A048F4">
        <w:rPr>
          <w:rFonts w:ascii="Times New Roman" w:eastAsia="Times New Roman" w:hAnsi="Times New Roman" w:cs="Times New Roman"/>
          <w:b/>
          <w:sz w:val="28"/>
          <w:szCs w:val="28"/>
        </w:rPr>
        <w:t>7</w:t>
      </w:r>
      <w:r w:rsidR="007D3FD1" w:rsidRPr="00A048F4">
        <w:rPr>
          <w:rFonts w:ascii="Times New Roman" w:eastAsia="Times New Roman" w:hAnsi="Times New Roman" w:cs="Times New Roman"/>
          <w:b/>
          <w:sz w:val="28"/>
          <w:szCs w:val="28"/>
        </w:rPr>
        <w:t xml:space="preserve">. </w:t>
      </w:r>
      <w:r w:rsidRPr="00A048F4">
        <w:rPr>
          <w:rFonts w:ascii="Times New Roman" w:eastAsia="Times New Roman" w:hAnsi="Times New Roman" w:cs="Times New Roman"/>
          <w:b/>
          <w:sz w:val="28"/>
          <w:szCs w:val="28"/>
        </w:rPr>
        <w:t>Bơm thông lệ đạ</w:t>
      </w:r>
      <w:r w:rsidR="007D3FD1" w:rsidRPr="00A048F4">
        <w:rPr>
          <w:rFonts w:ascii="Times New Roman" w:eastAsia="Times New Roman" w:hAnsi="Times New Roman" w:cs="Times New Roman"/>
          <w:b/>
          <w:sz w:val="28"/>
          <w:szCs w:val="28"/>
        </w:rPr>
        <w:t>o:</w:t>
      </w:r>
      <w:r w:rsidR="007D3FD1" w:rsidRPr="00A048F4">
        <w:rPr>
          <w:rFonts w:ascii="Times New Roman" w:eastAsia="Times New Roman" w:hAnsi="Times New Roman" w:cs="Times New Roman"/>
          <w:sz w:val="28"/>
          <w:szCs w:val="28"/>
        </w:rPr>
        <w:t xml:space="preserve"> </w:t>
      </w:r>
      <w:r w:rsidRPr="00A048F4">
        <w:rPr>
          <w:rFonts w:ascii="Times New Roman" w:eastAsia="Times New Roman" w:hAnsi="Times New Roman" w:cs="Times New Roman"/>
          <w:sz w:val="28"/>
          <w:szCs w:val="28"/>
        </w:rPr>
        <w:t>không</w:t>
      </w:r>
      <w:r w:rsidR="007D3FD1" w:rsidRPr="00A048F4">
        <w:rPr>
          <w:rFonts w:ascii="Times New Roman" w:eastAsia="Times New Roman" w:hAnsi="Times New Roman" w:cs="Times New Roman"/>
          <w:sz w:val="28"/>
          <w:szCs w:val="28"/>
        </w:rPr>
        <w:t xml:space="preserve"> ý xuất toán</w:t>
      </w:r>
      <w:r w:rsidRPr="00A048F4">
        <w:rPr>
          <w:rFonts w:ascii="Times New Roman" w:eastAsia="Times New Roman" w:hAnsi="Times New Roman" w:cs="Times New Roman"/>
          <w:sz w:val="28"/>
          <w:szCs w:val="28"/>
        </w:rPr>
        <w:t xml:space="preserve"> vì bệnh nhân được chẩn đoán theo mã bệnh  (H04) Bệnh của lệ bộ, nên chỉ định Bơm thông lệ đạo là hợp lý. </w:t>
      </w:r>
      <w:r w:rsidRPr="00A048F4">
        <w:rPr>
          <w:rFonts w:ascii="Times New Roman" w:eastAsia="Times New Roman" w:hAnsi="Times New Roman" w:cs="Times New Roman"/>
          <w:b/>
          <w:i/>
          <w:sz w:val="28"/>
          <w:szCs w:val="28"/>
        </w:rPr>
        <w:t>Không đồng ý xuất toán 1/1 ca</w:t>
      </w:r>
      <w:r w:rsidR="007D3FD1" w:rsidRPr="00A048F4">
        <w:rPr>
          <w:rFonts w:ascii="Times New Roman" w:eastAsia="Times New Roman" w:hAnsi="Times New Roman" w:cs="Times New Roman"/>
          <w:b/>
          <w:i/>
          <w:sz w:val="28"/>
          <w:szCs w:val="28"/>
        </w:rPr>
        <w:t>.</w:t>
      </w:r>
    </w:p>
    <w:p w:rsidR="009B5BF9" w:rsidRPr="004D53BC" w:rsidRDefault="009B5BF9" w:rsidP="00037AF7">
      <w:pPr>
        <w:spacing w:after="0"/>
        <w:ind w:firstLine="357"/>
        <w:jc w:val="both"/>
        <w:rPr>
          <w:rFonts w:ascii="Times New Roman" w:eastAsia="Times New Roman" w:hAnsi="Times New Roman" w:cs="Times New Roman"/>
          <w:b/>
          <w:i/>
          <w:sz w:val="27"/>
          <w:szCs w:val="27"/>
        </w:rPr>
      </w:pPr>
      <w:r w:rsidRPr="00A048F4">
        <w:rPr>
          <w:rFonts w:ascii="Times New Roman" w:eastAsia="Times New Roman" w:hAnsi="Times New Roman" w:cs="Times New Roman"/>
          <w:b/>
          <w:sz w:val="28"/>
          <w:szCs w:val="28"/>
        </w:rPr>
        <w:t>8. Điện tim thường:</w:t>
      </w:r>
      <w:r w:rsidRPr="00A048F4">
        <w:rPr>
          <w:rFonts w:ascii="Times New Roman" w:eastAsia="Times New Roman" w:hAnsi="Times New Roman" w:cs="Times New Roman"/>
          <w:sz w:val="28"/>
          <w:szCs w:val="28"/>
        </w:rPr>
        <w:t xml:space="preserve"> </w:t>
      </w:r>
      <w:r w:rsidR="004D65B2" w:rsidRPr="00A048F4">
        <w:rPr>
          <w:rFonts w:ascii="Times New Roman" w:eastAsia="Times New Roman" w:hAnsi="Times New Roman" w:cs="Times New Roman"/>
          <w:sz w:val="28"/>
          <w:szCs w:val="28"/>
        </w:rPr>
        <w:t xml:space="preserve">các chỉ định điện tim thường đều phụ hợp: tăng huyết áp; đau ngực; rối loạn giấc ngủ; bệnh nhân phẫu thuật. </w:t>
      </w:r>
      <w:r w:rsidR="004D65B2" w:rsidRPr="004D53BC">
        <w:rPr>
          <w:rFonts w:ascii="Times New Roman" w:eastAsia="Times New Roman" w:hAnsi="Times New Roman" w:cs="Times New Roman"/>
          <w:b/>
          <w:i/>
          <w:sz w:val="27"/>
          <w:szCs w:val="27"/>
        </w:rPr>
        <w:t>Không đồng xuất toán 10/10 ca.</w:t>
      </w:r>
    </w:p>
    <w:p w:rsidR="009B5BF9" w:rsidRPr="00A048F4" w:rsidRDefault="009E7F3D" w:rsidP="00037AF7">
      <w:pPr>
        <w:spacing w:after="0"/>
        <w:ind w:firstLine="357"/>
        <w:jc w:val="both"/>
        <w:rPr>
          <w:rFonts w:ascii="Times New Roman" w:eastAsia="Times New Roman" w:hAnsi="Times New Roman" w:cs="Times New Roman"/>
          <w:b/>
          <w:sz w:val="28"/>
          <w:szCs w:val="28"/>
        </w:rPr>
      </w:pPr>
      <w:r w:rsidRPr="00A048F4">
        <w:rPr>
          <w:rFonts w:ascii="Times New Roman" w:eastAsia="Times New Roman" w:hAnsi="Times New Roman" w:cs="Times New Roman"/>
          <w:b/>
          <w:sz w:val="28"/>
          <w:szCs w:val="28"/>
        </w:rPr>
        <w:t xml:space="preserve">9. Bilirubin TP: </w:t>
      </w:r>
      <w:r w:rsidRPr="00A048F4">
        <w:rPr>
          <w:rFonts w:ascii="Times New Roman" w:eastAsia="Times New Roman" w:hAnsi="Times New Roman" w:cs="Times New Roman"/>
          <w:b/>
          <w:i/>
          <w:sz w:val="28"/>
          <w:szCs w:val="28"/>
        </w:rPr>
        <w:t>đồng ý xuất toán 1/1 ca</w:t>
      </w:r>
    </w:p>
    <w:p w:rsidR="00037AF7" w:rsidRPr="007E2E2D" w:rsidRDefault="009E7F3D" w:rsidP="00037AF7">
      <w:pPr>
        <w:spacing w:after="0"/>
        <w:ind w:firstLine="357"/>
        <w:jc w:val="both"/>
        <w:rPr>
          <w:rFonts w:ascii="Times New Roman" w:eastAsia="Times New Roman" w:hAnsi="Times New Roman" w:cs="Times New Roman"/>
          <w:i/>
          <w:sz w:val="28"/>
          <w:szCs w:val="28"/>
        </w:rPr>
      </w:pPr>
      <w:r w:rsidRPr="00A048F4">
        <w:rPr>
          <w:rFonts w:ascii="Times New Roman" w:eastAsia="Times New Roman" w:hAnsi="Times New Roman" w:cs="Times New Roman"/>
          <w:b/>
          <w:sz w:val="28"/>
          <w:szCs w:val="28"/>
        </w:rPr>
        <w:t xml:space="preserve">10. Khám ngoại trú trùng ngày: </w:t>
      </w:r>
      <w:r w:rsidR="00037AF7" w:rsidRPr="00037AF7">
        <w:rPr>
          <w:rFonts w:ascii="Times New Roman" w:eastAsia="Times New Roman" w:hAnsi="Times New Roman" w:cs="Times New Roman"/>
          <w:b/>
          <w:i/>
          <w:sz w:val="28"/>
          <w:szCs w:val="28"/>
        </w:rPr>
        <w:t>đồng ý xuất toán khám ngoại trú trùng ngày 2/24 bệnh nhân</w:t>
      </w:r>
      <w:r w:rsidR="007E2E2D">
        <w:rPr>
          <w:rFonts w:ascii="Times New Roman" w:eastAsia="Times New Roman" w:hAnsi="Times New Roman" w:cs="Times New Roman"/>
          <w:b/>
          <w:i/>
          <w:sz w:val="28"/>
          <w:szCs w:val="28"/>
        </w:rPr>
        <w:t xml:space="preserve"> </w:t>
      </w:r>
      <w:r w:rsidR="007E2E2D" w:rsidRPr="007E2E2D">
        <w:rPr>
          <w:rFonts w:ascii="Times New Roman" w:eastAsia="Times New Roman" w:hAnsi="Times New Roman" w:cs="Times New Roman"/>
          <w:i/>
          <w:sz w:val="28"/>
          <w:szCs w:val="28"/>
        </w:rPr>
        <w:t>(những trường hợp khám nhiều chuyên khoa hoặc nhiều lượt khám/ngày thì áp dụng theo điều 5, thông tư 39/2018/TT-BYT)</w:t>
      </w:r>
      <w:r w:rsidR="00037AF7" w:rsidRPr="007E2E2D">
        <w:rPr>
          <w:rFonts w:ascii="Times New Roman" w:eastAsia="Times New Roman" w:hAnsi="Times New Roman" w:cs="Times New Roman"/>
          <w:i/>
          <w:sz w:val="28"/>
          <w:szCs w:val="28"/>
        </w:rPr>
        <w:t>.</w:t>
      </w:r>
    </w:p>
    <w:p w:rsidR="009E7F3D" w:rsidRDefault="0039333A" w:rsidP="00037AF7">
      <w:pPr>
        <w:spacing w:after="0"/>
        <w:ind w:firstLine="357"/>
        <w:jc w:val="both"/>
        <w:rPr>
          <w:rFonts w:ascii="Times New Roman" w:eastAsia="Times New Roman" w:hAnsi="Times New Roman" w:cs="Times New Roman"/>
          <w:b/>
          <w:sz w:val="28"/>
          <w:szCs w:val="28"/>
        </w:rPr>
      </w:pPr>
      <w:r w:rsidRPr="00A048F4">
        <w:rPr>
          <w:rFonts w:ascii="Times New Roman" w:eastAsia="Times New Roman" w:hAnsi="Times New Roman" w:cs="Times New Roman"/>
          <w:b/>
          <w:sz w:val="28"/>
          <w:szCs w:val="28"/>
        </w:rPr>
        <w:t xml:space="preserve">11. Dịch vụ kỹ thuật chuyên khoa nhi: </w:t>
      </w:r>
    </w:p>
    <w:p w:rsidR="00BC4C66" w:rsidRPr="00BC4C66" w:rsidRDefault="00BC4C66" w:rsidP="00037AF7">
      <w:pPr>
        <w:spacing w:after="0"/>
        <w:ind w:firstLine="357"/>
        <w:jc w:val="both"/>
        <w:rPr>
          <w:rFonts w:ascii="Times New Roman" w:eastAsia="Times New Roman" w:hAnsi="Times New Roman" w:cs="Times New Roman"/>
          <w:b/>
          <w:i/>
          <w:sz w:val="28"/>
          <w:szCs w:val="28"/>
        </w:rPr>
      </w:pPr>
      <w:r w:rsidRPr="00BC4C66">
        <w:rPr>
          <w:rFonts w:ascii="Times New Roman" w:eastAsia="Times New Roman" w:hAnsi="Times New Roman" w:cs="Times New Roman"/>
          <w:b/>
          <w:i/>
          <w:sz w:val="28"/>
          <w:szCs w:val="28"/>
        </w:rPr>
        <w:t xml:space="preserve">Do nhiều kỹ thuật không có mã DVKT áp dụng cho người lớn nên các bác sỹ áp dụng mã DVKT của Nhi áp cho người lớn. Đây không phải do đơn vị áp sai mã DVKT mà do Bộ Y tế chưa ban hành đầy đủ mã DVKT để cơ sở </w:t>
      </w:r>
      <w:r>
        <w:rPr>
          <w:rFonts w:ascii="Times New Roman" w:eastAsia="Times New Roman" w:hAnsi="Times New Roman" w:cs="Times New Roman"/>
          <w:b/>
          <w:i/>
          <w:sz w:val="28"/>
          <w:szCs w:val="28"/>
        </w:rPr>
        <w:t>thực hiện</w:t>
      </w:r>
      <w:r w:rsidRPr="00BC4C66">
        <w:rPr>
          <w:rFonts w:ascii="Times New Roman" w:eastAsia="Times New Roman" w:hAnsi="Times New Roman" w:cs="Times New Roman"/>
          <w:b/>
          <w:i/>
          <w:sz w:val="28"/>
          <w:szCs w:val="28"/>
        </w:rPr>
        <w:t>. Vì vậy đề nghị chưa đưa nội dung này vào xuất toán, mà phải chờ hướng dẫn thêm từ các cấp có thẩm quyền quyết định.</w:t>
      </w:r>
    </w:p>
    <w:p w:rsidR="0039333A" w:rsidRPr="00A048F4" w:rsidRDefault="0039333A" w:rsidP="00037AF7">
      <w:pPr>
        <w:spacing w:after="0"/>
        <w:ind w:firstLine="357"/>
        <w:jc w:val="both"/>
        <w:rPr>
          <w:rFonts w:ascii="Times New Roman" w:eastAsia="Times New Roman" w:hAnsi="Times New Roman" w:cs="Times New Roman"/>
          <w:sz w:val="28"/>
          <w:szCs w:val="28"/>
        </w:rPr>
      </w:pPr>
      <w:r w:rsidRPr="00A048F4">
        <w:rPr>
          <w:rFonts w:ascii="Times New Roman" w:eastAsia="Times New Roman" w:hAnsi="Times New Roman" w:cs="Times New Roman"/>
          <w:b/>
          <w:sz w:val="28"/>
          <w:szCs w:val="28"/>
        </w:rPr>
        <w:t>12. Trùng nội tỉnh:</w:t>
      </w:r>
      <w:r w:rsidRPr="00A048F4">
        <w:rPr>
          <w:rFonts w:ascii="Times New Roman" w:eastAsia="Times New Roman" w:hAnsi="Times New Roman" w:cs="Times New Roman"/>
          <w:sz w:val="28"/>
          <w:szCs w:val="28"/>
        </w:rPr>
        <w:t xml:space="preserve"> do quản lý bệnh nhân nội trú của khoa Chăm sóc sức khỏe sinh sản không chặt chẽ nên bệnh nhân có hồ sơ điều trị nội trú tại 2 cơ sở y tế trong cùng 1 thời điểm. </w:t>
      </w:r>
      <w:r w:rsidR="00D6236D" w:rsidRPr="00A048F4">
        <w:rPr>
          <w:rFonts w:ascii="Times New Roman" w:eastAsia="Times New Roman" w:hAnsi="Times New Roman" w:cs="Times New Roman"/>
          <w:sz w:val="28"/>
          <w:szCs w:val="28"/>
        </w:rPr>
        <w:t>Đơn vị đồng ý xuất toán tính từ thời điểm bệnh nhân lập hồ sơ điều trị tại cơ sở khác cho đến lúc xuất viện (một hồ sơ).</w:t>
      </w:r>
    </w:p>
    <w:p w:rsidR="009B5BF9" w:rsidRPr="00A048F4" w:rsidRDefault="00D6236D" w:rsidP="00037AF7">
      <w:pPr>
        <w:spacing w:after="0"/>
        <w:ind w:firstLine="357"/>
        <w:jc w:val="both"/>
        <w:rPr>
          <w:rFonts w:ascii="Times New Roman" w:eastAsia="Times New Roman" w:hAnsi="Times New Roman" w:cs="Times New Roman"/>
          <w:sz w:val="28"/>
          <w:szCs w:val="28"/>
        </w:rPr>
      </w:pPr>
      <w:r w:rsidRPr="00A048F4">
        <w:rPr>
          <w:rFonts w:ascii="Times New Roman" w:eastAsia="Times New Roman" w:hAnsi="Times New Roman" w:cs="Times New Roman"/>
          <w:b/>
          <w:sz w:val="28"/>
          <w:szCs w:val="28"/>
        </w:rPr>
        <w:t>13. Phẫu thuật phức tạp:</w:t>
      </w:r>
      <w:r w:rsidRPr="00A048F4">
        <w:rPr>
          <w:rFonts w:ascii="Times New Roman" w:eastAsia="Times New Roman" w:hAnsi="Times New Roman" w:cs="Times New Roman"/>
          <w:sz w:val="28"/>
          <w:szCs w:val="28"/>
        </w:rPr>
        <w:t xml:space="preserve"> do áp sai giá DVKT, nên đồng ý áp theo mức giá phẫu thuật loại II (có 1 ca).</w:t>
      </w:r>
    </w:p>
    <w:p w:rsidR="009B5BF9" w:rsidRPr="00A048F4" w:rsidRDefault="00D6236D" w:rsidP="00037AF7">
      <w:pPr>
        <w:spacing w:after="0"/>
        <w:ind w:firstLine="357"/>
        <w:jc w:val="both"/>
        <w:rPr>
          <w:rFonts w:ascii="Times New Roman" w:eastAsia="Times New Roman" w:hAnsi="Times New Roman" w:cs="Times New Roman"/>
          <w:b/>
          <w:sz w:val="28"/>
          <w:szCs w:val="28"/>
        </w:rPr>
      </w:pPr>
      <w:r w:rsidRPr="00A048F4">
        <w:rPr>
          <w:rFonts w:ascii="Times New Roman" w:eastAsia="Times New Roman" w:hAnsi="Times New Roman" w:cs="Times New Roman"/>
          <w:b/>
          <w:sz w:val="28"/>
          <w:szCs w:val="28"/>
        </w:rPr>
        <w:t>14. Y học cổ truyền:</w:t>
      </w:r>
    </w:p>
    <w:p w:rsidR="00D6236D" w:rsidRPr="00A048F4" w:rsidRDefault="00D6236D" w:rsidP="00037AF7">
      <w:pPr>
        <w:spacing w:after="0"/>
        <w:ind w:firstLine="357"/>
        <w:jc w:val="both"/>
        <w:rPr>
          <w:rFonts w:ascii="Times New Roman" w:eastAsia="Times New Roman" w:hAnsi="Times New Roman" w:cs="Times New Roman"/>
          <w:sz w:val="28"/>
          <w:szCs w:val="28"/>
        </w:rPr>
      </w:pPr>
      <w:r w:rsidRPr="00A048F4">
        <w:rPr>
          <w:rFonts w:ascii="Times New Roman" w:eastAsia="Times New Roman" w:hAnsi="Times New Roman" w:cs="Times New Roman"/>
          <w:sz w:val="28"/>
          <w:szCs w:val="28"/>
        </w:rPr>
        <w:t>14.1. Kéo giãn cột sống: cả 4 trường hợp đều chỉ định đúng theo Quyết định số 2520</w:t>
      </w:r>
      <w:r w:rsidR="00E23C3C" w:rsidRPr="00A048F4">
        <w:rPr>
          <w:rFonts w:ascii="Times New Roman" w:eastAsia="Times New Roman" w:hAnsi="Times New Roman" w:cs="Times New Roman"/>
          <w:sz w:val="28"/>
          <w:szCs w:val="28"/>
        </w:rPr>
        <w:t>/QĐ-BYT ngày 18/6/2019.</w:t>
      </w:r>
    </w:p>
    <w:p w:rsidR="00744BE6" w:rsidRPr="00A048F4" w:rsidRDefault="00E23C3C" w:rsidP="00037AF7">
      <w:pPr>
        <w:spacing w:after="0"/>
        <w:ind w:firstLine="357"/>
        <w:jc w:val="both"/>
        <w:rPr>
          <w:rFonts w:ascii="Times New Roman" w:eastAsia="Times New Roman" w:hAnsi="Times New Roman" w:cs="Times New Roman"/>
          <w:sz w:val="28"/>
          <w:szCs w:val="28"/>
        </w:rPr>
      </w:pPr>
      <w:r w:rsidRPr="00A048F4">
        <w:rPr>
          <w:rFonts w:ascii="Times New Roman" w:eastAsia="Times New Roman" w:hAnsi="Times New Roman" w:cs="Times New Roman"/>
          <w:sz w:val="28"/>
          <w:szCs w:val="28"/>
        </w:rPr>
        <w:t xml:space="preserve">14.2. </w:t>
      </w:r>
      <w:r w:rsidR="00744BE6" w:rsidRPr="00A048F4">
        <w:rPr>
          <w:rFonts w:ascii="Times New Roman" w:eastAsia="Times New Roman" w:hAnsi="Times New Roman" w:cs="Times New Roman"/>
          <w:sz w:val="28"/>
          <w:szCs w:val="28"/>
        </w:rPr>
        <w:t xml:space="preserve">Điện châm trên bệnh nhân suy kiệt: có 2 trường hợp đồng ý xuất toán kỹ thuật điện châm. </w:t>
      </w:r>
    </w:p>
    <w:p w:rsidR="00E23C3C" w:rsidRPr="00A048F4" w:rsidRDefault="00744BE6" w:rsidP="00037AF7">
      <w:pPr>
        <w:spacing w:after="0"/>
        <w:ind w:firstLine="357"/>
        <w:jc w:val="both"/>
        <w:rPr>
          <w:rFonts w:ascii="Times New Roman" w:eastAsia="Times New Roman" w:hAnsi="Times New Roman" w:cs="Times New Roman"/>
          <w:sz w:val="28"/>
          <w:szCs w:val="28"/>
        </w:rPr>
      </w:pPr>
      <w:r w:rsidRPr="00A048F4">
        <w:rPr>
          <w:rFonts w:ascii="Times New Roman" w:eastAsia="Times New Roman" w:hAnsi="Times New Roman" w:cs="Times New Roman"/>
          <w:sz w:val="28"/>
          <w:szCs w:val="28"/>
        </w:rPr>
        <w:lastRenderedPageBreak/>
        <w:t xml:space="preserve">(*Chống chỉ định của điện châm là: </w:t>
      </w:r>
    </w:p>
    <w:p w:rsidR="00744BE6" w:rsidRPr="00A048F4" w:rsidRDefault="00744BE6" w:rsidP="00037AF7">
      <w:pPr>
        <w:pStyle w:val="NormalWeb"/>
        <w:shd w:val="clear" w:color="auto" w:fill="FFFFFF"/>
        <w:spacing w:before="0" w:beforeAutospacing="0" w:after="0" w:afterAutospacing="0" w:line="276" w:lineRule="auto"/>
        <w:ind w:firstLine="357"/>
        <w:rPr>
          <w:sz w:val="28"/>
          <w:szCs w:val="28"/>
        </w:rPr>
      </w:pPr>
      <w:r w:rsidRPr="00A048F4">
        <w:rPr>
          <w:sz w:val="28"/>
          <w:szCs w:val="28"/>
        </w:rPr>
        <w:t>– Cơ thể suy kiệt, sức đề kháng giảm, phụ nữ có thai.</w:t>
      </w:r>
    </w:p>
    <w:p w:rsidR="00744BE6" w:rsidRPr="00A048F4" w:rsidRDefault="00744BE6" w:rsidP="00037AF7">
      <w:pPr>
        <w:pStyle w:val="NormalWeb"/>
        <w:shd w:val="clear" w:color="auto" w:fill="FFFFFF"/>
        <w:spacing w:before="0" w:beforeAutospacing="0" w:after="0" w:afterAutospacing="0" w:line="276" w:lineRule="auto"/>
        <w:ind w:firstLine="357"/>
        <w:rPr>
          <w:sz w:val="28"/>
          <w:szCs w:val="28"/>
        </w:rPr>
      </w:pPr>
      <w:r w:rsidRPr="00A048F4">
        <w:rPr>
          <w:sz w:val="28"/>
          <w:szCs w:val="28"/>
        </w:rPr>
        <w:t>– Tránh châm vào những vùng huyệt có viêm nhiễm hoặc lở loét ngoài da.</w:t>
      </w:r>
    </w:p>
    <w:p w:rsidR="00744BE6" w:rsidRPr="00A048F4" w:rsidRDefault="00744BE6" w:rsidP="00037AF7">
      <w:pPr>
        <w:pStyle w:val="NormalWeb"/>
        <w:shd w:val="clear" w:color="auto" w:fill="FFFFFF"/>
        <w:spacing w:before="0" w:beforeAutospacing="0" w:after="0" w:afterAutospacing="0" w:line="276" w:lineRule="auto"/>
        <w:ind w:firstLine="357"/>
        <w:rPr>
          <w:sz w:val="28"/>
          <w:szCs w:val="28"/>
        </w:rPr>
      </w:pPr>
      <w:r w:rsidRPr="00A048F4">
        <w:rPr>
          <w:sz w:val="28"/>
          <w:szCs w:val="28"/>
        </w:rPr>
        <w:t>– Tất cả những cơn đau nghi do nguyên nhân ngoại khoa…)</w:t>
      </w:r>
    </w:p>
    <w:p w:rsidR="009A1995" w:rsidRPr="00A048F4" w:rsidRDefault="00744BE6" w:rsidP="00037AF7">
      <w:pPr>
        <w:spacing w:after="0"/>
        <w:ind w:firstLine="357"/>
        <w:jc w:val="both"/>
        <w:rPr>
          <w:rFonts w:ascii="Times New Roman" w:eastAsia="Times New Roman" w:hAnsi="Times New Roman" w:cs="Times New Roman"/>
          <w:sz w:val="28"/>
          <w:szCs w:val="28"/>
        </w:rPr>
      </w:pPr>
      <w:r w:rsidRPr="00A048F4">
        <w:rPr>
          <w:rFonts w:ascii="Times New Roman" w:eastAsia="Times New Roman" w:hAnsi="Times New Roman" w:cs="Times New Roman"/>
          <w:sz w:val="28"/>
          <w:szCs w:val="28"/>
        </w:rPr>
        <w:t>14.3. Xoa bóp bấm huyệt: không đồng ý xuất toán vì đơn vị có bác sỹ, KTV được đào tạo về PHCN và chỉ định thực hiện kỹ thuật theo đúng hướng dẫn</w:t>
      </w:r>
      <w:r w:rsidR="009A1995" w:rsidRPr="00A048F4">
        <w:rPr>
          <w:rFonts w:ascii="Times New Roman" w:eastAsia="Times New Roman" w:hAnsi="Times New Roman" w:cs="Times New Roman"/>
          <w:sz w:val="28"/>
          <w:szCs w:val="28"/>
        </w:rPr>
        <w:t xml:space="preserve"> của Quyết định số 3109/QĐ-BYT ngày 19/8/2014 của Bộ Y tế.</w:t>
      </w:r>
    </w:p>
    <w:p w:rsidR="00744BE6" w:rsidRPr="00A048F4" w:rsidRDefault="009A1995" w:rsidP="00037AF7">
      <w:pPr>
        <w:spacing w:after="0"/>
        <w:ind w:firstLine="357"/>
        <w:jc w:val="both"/>
        <w:rPr>
          <w:rFonts w:ascii="Times New Roman" w:eastAsia="Times New Roman" w:hAnsi="Times New Roman" w:cs="Times New Roman"/>
          <w:b/>
          <w:i/>
          <w:sz w:val="28"/>
          <w:szCs w:val="28"/>
        </w:rPr>
      </w:pPr>
      <w:r w:rsidRPr="00A048F4">
        <w:rPr>
          <w:rFonts w:ascii="Times New Roman" w:eastAsia="Times New Roman" w:hAnsi="Times New Roman" w:cs="Times New Roman"/>
          <w:sz w:val="28"/>
          <w:szCs w:val="28"/>
        </w:rPr>
        <w:t>14.4. Thủy châm vitamin B6: không đồng ý xuất toán vì chưa có bằng chứng hoặc tài liệu nào nói đến chống chỉ định của vitamin B6 đối với thủy châm</w:t>
      </w:r>
      <w:r w:rsidR="008C148D" w:rsidRPr="00A048F4">
        <w:rPr>
          <w:rFonts w:ascii="Times New Roman" w:eastAsia="Times New Roman" w:hAnsi="Times New Roman" w:cs="Times New Roman"/>
          <w:sz w:val="28"/>
          <w:szCs w:val="28"/>
        </w:rPr>
        <w:t>. Hơn nữa khi thực hiện kỹ thuật điện châm thì cần nhiều thuốc phối hợp (vitamin B1, B12, …) chứ không phải chỉ đơn lẻ thuốc vitamin B6</w:t>
      </w:r>
      <w:r w:rsidRPr="00A048F4">
        <w:rPr>
          <w:rFonts w:ascii="Times New Roman" w:eastAsia="Times New Roman" w:hAnsi="Times New Roman" w:cs="Times New Roman"/>
          <w:sz w:val="28"/>
          <w:szCs w:val="28"/>
        </w:rPr>
        <w:t xml:space="preserve">. </w:t>
      </w:r>
      <w:r w:rsidRPr="00A048F4">
        <w:rPr>
          <w:rFonts w:ascii="Times New Roman" w:eastAsia="Times New Roman" w:hAnsi="Times New Roman" w:cs="Times New Roman"/>
          <w:b/>
          <w:i/>
          <w:sz w:val="28"/>
          <w:szCs w:val="28"/>
        </w:rPr>
        <w:t>Không đồng ý xuất toán 10/10 ca.</w:t>
      </w:r>
    </w:p>
    <w:p w:rsidR="008C148D" w:rsidRPr="00A048F4" w:rsidRDefault="00481DBE" w:rsidP="00037AF7">
      <w:pPr>
        <w:spacing w:after="0"/>
        <w:ind w:firstLine="357"/>
        <w:jc w:val="both"/>
        <w:rPr>
          <w:rFonts w:ascii="Times New Roman" w:hAnsi="Times New Roman" w:cs="Times New Roman"/>
          <w:b/>
          <w:sz w:val="28"/>
          <w:szCs w:val="28"/>
        </w:rPr>
      </w:pPr>
      <w:r w:rsidRPr="00A048F4">
        <w:rPr>
          <w:rFonts w:ascii="Times New Roman" w:hAnsi="Times New Roman" w:cs="Times New Roman"/>
          <w:b/>
          <w:sz w:val="28"/>
          <w:szCs w:val="28"/>
        </w:rPr>
        <w:t xml:space="preserve">15. </w:t>
      </w:r>
      <w:r w:rsidR="008C148D" w:rsidRPr="00A048F4">
        <w:rPr>
          <w:rFonts w:ascii="Times New Roman" w:hAnsi="Times New Roman" w:cs="Times New Roman"/>
          <w:b/>
          <w:sz w:val="28"/>
          <w:szCs w:val="28"/>
        </w:rPr>
        <w:t>Giải trình</w:t>
      </w:r>
      <w:bookmarkStart w:id="0" w:name="_GoBack"/>
      <w:bookmarkEnd w:id="0"/>
      <w:r w:rsidR="008C148D" w:rsidRPr="00A048F4">
        <w:rPr>
          <w:rFonts w:ascii="Times New Roman" w:hAnsi="Times New Roman" w:cs="Times New Roman"/>
          <w:b/>
          <w:sz w:val="28"/>
          <w:szCs w:val="28"/>
        </w:rPr>
        <w:t xml:space="preserve"> Thuốc:</w:t>
      </w:r>
    </w:p>
    <w:p w:rsidR="008C148D" w:rsidRPr="00A048F4" w:rsidRDefault="008A746A" w:rsidP="00037AF7">
      <w:pPr>
        <w:pStyle w:val="ListParagraph"/>
        <w:spacing w:after="0"/>
        <w:ind w:left="0" w:firstLine="357"/>
        <w:jc w:val="both"/>
        <w:rPr>
          <w:rFonts w:ascii="Times New Roman" w:eastAsia="Times New Roman" w:hAnsi="Times New Roman" w:cs="Times New Roman"/>
          <w:sz w:val="28"/>
          <w:szCs w:val="28"/>
        </w:rPr>
      </w:pPr>
      <w:r w:rsidRPr="00A048F4">
        <w:rPr>
          <w:rFonts w:ascii="Times New Roman" w:hAnsi="Times New Roman" w:cs="Times New Roman"/>
          <w:sz w:val="28"/>
          <w:szCs w:val="28"/>
        </w:rPr>
        <w:t>15.</w:t>
      </w:r>
      <w:r w:rsidR="008C148D" w:rsidRPr="00A048F4">
        <w:rPr>
          <w:rFonts w:ascii="Times New Roman" w:hAnsi="Times New Roman" w:cs="Times New Roman"/>
          <w:sz w:val="28"/>
          <w:szCs w:val="28"/>
        </w:rPr>
        <w:t xml:space="preserve">1. Flunarizin: đồng ý xuất toán với lí do chỉ định không đúng với TT30 là: </w:t>
      </w:r>
      <w:r w:rsidR="008C148D" w:rsidRPr="00A048F4">
        <w:rPr>
          <w:rFonts w:ascii="Times New Roman" w:eastAsia="Times New Roman" w:hAnsi="Times New Roman" w:cs="Times New Roman"/>
          <w:sz w:val="28"/>
          <w:szCs w:val="28"/>
        </w:rPr>
        <w:t>Quỹ bảo hiểm y tế thanh toán điều trị dự phòng cơn đau nửa đầu trong trường hợp các biện pháp điều trị khác không có hiệu quả hoặc kém dung nạp</w:t>
      </w:r>
      <w:r w:rsidR="00481DBE" w:rsidRPr="00A048F4">
        <w:rPr>
          <w:rFonts w:ascii="Times New Roman" w:eastAsia="Times New Roman" w:hAnsi="Times New Roman" w:cs="Times New Roman"/>
          <w:sz w:val="28"/>
          <w:szCs w:val="28"/>
        </w:rPr>
        <w:t>.</w:t>
      </w:r>
    </w:p>
    <w:p w:rsidR="008C148D" w:rsidRPr="00A048F4" w:rsidRDefault="008A746A" w:rsidP="00037AF7">
      <w:pPr>
        <w:pStyle w:val="ListParagraph"/>
        <w:spacing w:after="0"/>
        <w:ind w:left="0" w:firstLine="357"/>
        <w:jc w:val="both"/>
        <w:rPr>
          <w:rFonts w:ascii="Times New Roman" w:hAnsi="Times New Roman" w:cs="Times New Roman"/>
          <w:sz w:val="28"/>
          <w:szCs w:val="28"/>
        </w:rPr>
      </w:pPr>
      <w:r w:rsidRPr="00A048F4">
        <w:rPr>
          <w:rFonts w:ascii="Times New Roman" w:hAnsi="Times New Roman" w:cs="Times New Roman"/>
          <w:sz w:val="28"/>
          <w:szCs w:val="28"/>
        </w:rPr>
        <w:t>15.</w:t>
      </w:r>
      <w:r w:rsidR="008C148D" w:rsidRPr="00A048F4">
        <w:rPr>
          <w:rFonts w:ascii="Times New Roman" w:hAnsi="Times New Roman" w:cs="Times New Roman"/>
          <w:sz w:val="28"/>
          <w:szCs w:val="28"/>
        </w:rPr>
        <w:t>2. Famotidine: chấp nhận xuất toán các bệnh án Viêm loét hồi tràng - đại tràng, viêm họng cấp, chửa ngoài tử cung, THA, không đồng ý các bệnh án đau bụng…</w:t>
      </w:r>
    </w:p>
    <w:p w:rsidR="008C148D" w:rsidRPr="00A048F4" w:rsidRDefault="008A746A" w:rsidP="00037AF7">
      <w:pPr>
        <w:pStyle w:val="ListParagraph"/>
        <w:spacing w:after="0"/>
        <w:ind w:left="0" w:firstLine="357"/>
        <w:jc w:val="both"/>
        <w:rPr>
          <w:rFonts w:ascii="Times New Roman" w:hAnsi="Times New Roman" w:cs="Times New Roman"/>
          <w:sz w:val="28"/>
          <w:szCs w:val="28"/>
        </w:rPr>
      </w:pPr>
      <w:r w:rsidRPr="00A048F4">
        <w:rPr>
          <w:rFonts w:ascii="Times New Roman" w:hAnsi="Times New Roman" w:cs="Times New Roman"/>
          <w:sz w:val="28"/>
          <w:szCs w:val="28"/>
        </w:rPr>
        <w:t>15.</w:t>
      </w:r>
      <w:r w:rsidR="008C148D" w:rsidRPr="00A048F4">
        <w:rPr>
          <w:rFonts w:ascii="Times New Roman" w:hAnsi="Times New Roman" w:cs="Times New Roman"/>
          <w:sz w:val="28"/>
          <w:szCs w:val="28"/>
        </w:rPr>
        <w:t xml:space="preserve">3. Glucosamin: chấp nhận xuất toán vì </w:t>
      </w:r>
      <w:r w:rsidR="008C148D" w:rsidRPr="00A048F4">
        <w:rPr>
          <w:rFonts w:ascii="Times New Roman" w:eastAsia="Times New Roman" w:hAnsi="Times New Roman" w:cs="Times New Roman"/>
          <w:spacing w:val="-4"/>
          <w:sz w:val="28"/>
          <w:szCs w:val="28"/>
        </w:rPr>
        <w:t>Quỹ bảo hiểm y tế thanh toán điều trị thoái hóa khớp gối mức độ nhẹ và trung bình. Mà bệnh án chỉ ghi là đau khớp</w:t>
      </w:r>
    </w:p>
    <w:p w:rsidR="008C148D" w:rsidRPr="00A048F4" w:rsidRDefault="008A746A" w:rsidP="00037AF7">
      <w:pPr>
        <w:pStyle w:val="ListParagraph"/>
        <w:spacing w:after="0"/>
        <w:ind w:left="0" w:firstLine="357"/>
        <w:jc w:val="both"/>
        <w:rPr>
          <w:rFonts w:ascii="Times New Roman" w:hAnsi="Times New Roman" w:cs="Times New Roman"/>
          <w:sz w:val="28"/>
          <w:szCs w:val="28"/>
        </w:rPr>
      </w:pPr>
      <w:r w:rsidRPr="00A048F4">
        <w:rPr>
          <w:rFonts w:ascii="Times New Roman" w:hAnsi="Times New Roman" w:cs="Times New Roman"/>
          <w:sz w:val="28"/>
          <w:szCs w:val="28"/>
        </w:rPr>
        <w:t>15.</w:t>
      </w:r>
      <w:r w:rsidR="008C148D" w:rsidRPr="00A048F4">
        <w:rPr>
          <w:rFonts w:ascii="Times New Roman" w:hAnsi="Times New Roman" w:cs="Times New Roman"/>
          <w:sz w:val="28"/>
          <w:szCs w:val="28"/>
        </w:rPr>
        <w:t>4. Pantoprazol: không chấp nhận xuất toán các bệnh án đau bụng</w:t>
      </w:r>
    </w:p>
    <w:p w:rsidR="008C148D" w:rsidRPr="00A048F4" w:rsidRDefault="008A746A" w:rsidP="00037AF7">
      <w:pPr>
        <w:pStyle w:val="ListParagraph"/>
        <w:spacing w:after="0"/>
        <w:ind w:left="0" w:firstLine="357"/>
        <w:jc w:val="both"/>
        <w:rPr>
          <w:rFonts w:ascii="Times New Roman" w:hAnsi="Times New Roman" w:cs="Times New Roman"/>
          <w:sz w:val="28"/>
          <w:szCs w:val="28"/>
        </w:rPr>
      </w:pPr>
      <w:r w:rsidRPr="00A048F4">
        <w:rPr>
          <w:rFonts w:ascii="Times New Roman" w:hAnsi="Times New Roman" w:cs="Times New Roman"/>
          <w:sz w:val="28"/>
          <w:szCs w:val="28"/>
        </w:rPr>
        <w:t>15.</w:t>
      </w:r>
      <w:r w:rsidR="008C148D" w:rsidRPr="00A048F4">
        <w:rPr>
          <w:rFonts w:ascii="Times New Roman" w:hAnsi="Times New Roman" w:cs="Times New Roman"/>
          <w:sz w:val="28"/>
          <w:szCs w:val="28"/>
        </w:rPr>
        <w:t>5. Biofil: không chấp nhận xuất toán vì HDSD chỉ định người làm việc nặng nhọc, kém ăn, kém ngủ, mệt mỏi, sút cân, cơ thể suy nhược, trẻ em chậm lớn, người mới ốm dậy</w:t>
      </w:r>
    </w:p>
    <w:p w:rsidR="008C148D" w:rsidRPr="00A048F4" w:rsidRDefault="005F31EC" w:rsidP="00037AF7">
      <w:pPr>
        <w:pStyle w:val="ListParagraph"/>
        <w:spacing w:after="0"/>
        <w:ind w:left="0" w:firstLine="357"/>
        <w:jc w:val="both"/>
        <w:rPr>
          <w:rFonts w:ascii="Times New Roman" w:hAnsi="Times New Roman" w:cs="Times New Roman"/>
          <w:sz w:val="28"/>
          <w:szCs w:val="28"/>
        </w:rPr>
      </w:pPr>
      <w:r w:rsidRPr="00A048F4">
        <w:rPr>
          <w:rFonts w:ascii="Times New Roman" w:hAnsi="Times New Roman" w:cs="Times New Roman"/>
          <w:sz w:val="28"/>
          <w:szCs w:val="28"/>
        </w:rPr>
        <w:t>15.</w:t>
      </w:r>
      <w:r w:rsidR="008C148D" w:rsidRPr="00A048F4">
        <w:rPr>
          <w:rFonts w:ascii="Times New Roman" w:hAnsi="Times New Roman" w:cs="Times New Roman"/>
          <w:sz w:val="28"/>
          <w:szCs w:val="28"/>
        </w:rPr>
        <w:t xml:space="preserve">6. Cerecaps: không đồng ý với các bệnh án THA, đề nghị các BS cho thêm chẩn đoán hoa mắt, chóng mặt, đau đầu, mệt mỏi… theo tờ HDSD để tránh xuất toán lần sau, việc này Qúy 3/2019 các BS đã làm rất tốt rồi. </w:t>
      </w:r>
    </w:p>
    <w:p w:rsidR="008C148D" w:rsidRPr="00A048F4" w:rsidRDefault="008C148D" w:rsidP="00037AF7">
      <w:pPr>
        <w:pStyle w:val="ListParagraph"/>
        <w:spacing w:after="0"/>
        <w:ind w:left="0"/>
        <w:jc w:val="both"/>
        <w:rPr>
          <w:rFonts w:ascii="Times New Roman" w:hAnsi="Times New Roman" w:cs="Times New Roman"/>
          <w:sz w:val="28"/>
          <w:szCs w:val="28"/>
        </w:rPr>
      </w:pPr>
      <w:r w:rsidRPr="00A048F4">
        <w:rPr>
          <w:rFonts w:ascii="Times New Roman" w:hAnsi="Times New Roman" w:cs="Times New Roman"/>
          <w:sz w:val="28"/>
          <w:szCs w:val="28"/>
        </w:rPr>
        <w:t>+ Chống chỉ định: chấp nhận xuất toán bệnh án đang chảy máu, dễ chảy máu, trẻ em dưới 12 tuổi vì đang thiếu 1 đến 2 tháng</w:t>
      </w:r>
    </w:p>
    <w:p w:rsidR="008C148D" w:rsidRPr="00A048F4" w:rsidRDefault="005F31EC" w:rsidP="00037AF7">
      <w:pPr>
        <w:pStyle w:val="ListParagraph"/>
        <w:spacing w:after="0"/>
        <w:ind w:left="0" w:firstLine="426"/>
        <w:jc w:val="both"/>
        <w:rPr>
          <w:rFonts w:ascii="Times New Roman" w:hAnsi="Times New Roman" w:cs="Times New Roman"/>
          <w:sz w:val="28"/>
          <w:szCs w:val="28"/>
        </w:rPr>
      </w:pPr>
      <w:r w:rsidRPr="00A048F4">
        <w:rPr>
          <w:rFonts w:ascii="Times New Roman" w:hAnsi="Times New Roman" w:cs="Times New Roman"/>
          <w:sz w:val="28"/>
          <w:szCs w:val="28"/>
        </w:rPr>
        <w:t>15.</w:t>
      </w:r>
      <w:r w:rsidR="008C148D" w:rsidRPr="00A048F4">
        <w:rPr>
          <w:rFonts w:ascii="Times New Roman" w:hAnsi="Times New Roman" w:cs="Times New Roman"/>
          <w:sz w:val="28"/>
          <w:szCs w:val="28"/>
        </w:rPr>
        <w:t>7. Piracetam: không đồng ý vì trong bệnh án có mô tả tiền sử bệnh co giật của bệnh nhân</w:t>
      </w:r>
    </w:p>
    <w:p w:rsidR="008C148D" w:rsidRPr="00A048F4" w:rsidRDefault="005F31EC" w:rsidP="00037AF7">
      <w:pPr>
        <w:pStyle w:val="ListParagraph"/>
        <w:spacing w:after="0"/>
        <w:ind w:left="0" w:firstLine="426"/>
        <w:jc w:val="both"/>
        <w:rPr>
          <w:rFonts w:ascii="Times New Roman" w:hAnsi="Times New Roman" w:cs="Times New Roman"/>
          <w:sz w:val="28"/>
          <w:szCs w:val="28"/>
        </w:rPr>
      </w:pPr>
      <w:r w:rsidRPr="00A048F4">
        <w:rPr>
          <w:rFonts w:ascii="Times New Roman" w:hAnsi="Times New Roman" w:cs="Times New Roman"/>
          <w:sz w:val="28"/>
          <w:szCs w:val="28"/>
        </w:rPr>
        <w:t>15.</w:t>
      </w:r>
      <w:r w:rsidR="008C148D" w:rsidRPr="00A048F4">
        <w:rPr>
          <w:rFonts w:ascii="Times New Roman" w:hAnsi="Times New Roman" w:cs="Times New Roman"/>
          <w:sz w:val="28"/>
          <w:szCs w:val="28"/>
        </w:rPr>
        <w:t>8. Thiên sứ hộ tâm đan: không đồng ý các bệnh án đau ngực vì Quỹ BHYT thanh toán trong giới hạn chỉ định điều trị và phòng ngừa các chứng rối loạn nhịp tim, đau thắt ngực.</w:t>
      </w:r>
    </w:p>
    <w:p w:rsidR="008C148D" w:rsidRPr="00A048F4" w:rsidRDefault="005F31EC" w:rsidP="00037AF7">
      <w:pPr>
        <w:pStyle w:val="ListParagraph"/>
        <w:spacing w:after="0"/>
        <w:ind w:left="0" w:firstLine="426"/>
        <w:jc w:val="both"/>
        <w:rPr>
          <w:rFonts w:ascii="Times New Roman" w:hAnsi="Times New Roman" w:cs="Times New Roman"/>
          <w:sz w:val="28"/>
          <w:szCs w:val="28"/>
        </w:rPr>
      </w:pPr>
      <w:r w:rsidRPr="00A048F4">
        <w:rPr>
          <w:rFonts w:ascii="Times New Roman" w:hAnsi="Times New Roman" w:cs="Times New Roman"/>
          <w:sz w:val="28"/>
          <w:szCs w:val="28"/>
        </w:rPr>
        <w:lastRenderedPageBreak/>
        <w:t>15.</w:t>
      </w:r>
      <w:r w:rsidR="008C148D" w:rsidRPr="00A048F4">
        <w:rPr>
          <w:rFonts w:ascii="Times New Roman" w:hAnsi="Times New Roman" w:cs="Times New Roman"/>
          <w:sz w:val="28"/>
          <w:szCs w:val="28"/>
        </w:rPr>
        <w:t xml:space="preserve">9. Asakoya: chấp nhận xuất toán vì </w:t>
      </w:r>
      <w:r w:rsidR="008C148D" w:rsidRPr="00A048F4">
        <w:rPr>
          <w:rFonts w:ascii="Times New Roman" w:eastAsia="Times New Roman" w:hAnsi="Times New Roman" w:cs="Times New Roman"/>
          <w:sz w:val="28"/>
          <w:szCs w:val="28"/>
        </w:rPr>
        <w:t>Quỹ bảo hiểm y tế thanh toán 50% trong các trường hợp:</w:t>
      </w:r>
    </w:p>
    <w:p w:rsidR="008C148D" w:rsidRPr="00A048F4" w:rsidRDefault="008C148D" w:rsidP="00037AF7">
      <w:pPr>
        <w:pStyle w:val="ListParagraph"/>
        <w:spacing w:after="0"/>
        <w:ind w:left="0"/>
        <w:jc w:val="both"/>
        <w:rPr>
          <w:rFonts w:ascii="Times New Roman" w:eastAsia="Times New Roman" w:hAnsi="Times New Roman" w:cs="Times New Roman"/>
          <w:sz w:val="28"/>
          <w:szCs w:val="28"/>
        </w:rPr>
      </w:pPr>
      <w:r w:rsidRPr="00A048F4">
        <w:rPr>
          <w:rFonts w:ascii="Times New Roman" w:eastAsia="Times New Roman" w:hAnsi="Times New Roman" w:cs="Times New Roman"/>
          <w:sz w:val="28"/>
          <w:szCs w:val="28"/>
        </w:rPr>
        <w:t>- Đột quỵ cấp tính;</w:t>
      </w:r>
    </w:p>
    <w:p w:rsidR="008C148D" w:rsidRPr="00A048F4" w:rsidRDefault="008C148D" w:rsidP="00037AF7">
      <w:pPr>
        <w:pStyle w:val="ListParagraph"/>
        <w:spacing w:after="0"/>
        <w:ind w:left="0"/>
        <w:jc w:val="both"/>
        <w:rPr>
          <w:rFonts w:ascii="Times New Roman" w:eastAsia="Times New Roman" w:hAnsi="Times New Roman" w:cs="Times New Roman"/>
          <w:sz w:val="28"/>
          <w:szCs w:val="28"/>
        </w:rPr>
      </w:pPr>
      <w:r w:rsidRPr="00A048F4">
        <w:rPr>
          <w:rFonts w:ascii="Times New Roman" w:eastAsia="Times New Roman" w:hAnsi="Times New Roman" w:cs="Times New Roman"/>
          <w:sz w:val="28"/>
          <w:szCs w:val="28"/>
        </w:rPr>
        <w:t>- Sau chấn thương sọ não;</w:t>
      </w:r>
    </w:p>
    <w:p w:rsidR="008C148D" w:rsidRPr="00A048F4" w:rsidRDefault="008C148D" w:rsidP="00037AF7">
      <w:pPr>
        <w:pStyle w:val="ListParagraph"/>
        <w:spacing w:after="0"/>
        <w:ind w:left="0"/>
        <w:jc w:val="both"/>
        <w:rPr>
          <w:rFonts w:ascii="Times New Roman" w:eastAsia="Times New Roman" w:hAnsi="Times New Roman" w:cs="Times New Roman"/>
          <w:sz w:val="28"/>
          <w:szCs w:val="28"/>
        </w:rPr>
      </w:pPr>
      <w:r w:rsidRPr="00A048F4">
        <w:rPr>
          <w:rFonts w:ascii="Times New Roman" w:eastAsia="Times New Roman" w:hAnsi="Times New Roman" w:cs="Times New Roman"/>
          <w:sz w:val="28"/>
          <w:szCs w:val="28"/>
        </w:rPr>
        <w:t>- Sau phẫu thuật chấn thương sọ não;</w:t>
      </w:r>
    </w:p>
    <w:p w:rsidR="008C148D" w:rsidRPr="00A048F4" w:rsidRDefault="008C148D" w:rsidP="00037AF7">
      <w:pPr>
        <w:pStyle w:val="ListParagraph"/>
        <w:spacing w:after="0"/>
        <w:ind w:left="0"/>
        <w:jc w:val="both"/>
        <w:rPr>
          <w:rFonts w:ascii="Times New Roman" w:hAnsi="Times New Roman" w:cs="Times New Roman"/>
          <w:sz w:val="28"/>
          <w:szCs w:val="28"/>
        </w:rPr>
      </w:pPr>
      <w:r w:rsidRPr="00A048F4">
        <w:rPr>
          <w:rFonts w:ascii="Times New Roman" w:eastAsia="Times New Roman" w:hAnsi="Times New Roman" w:cs="Times New Roman"/>
          <w:sz w:val="28"/>
          <w:szCs w:val="28"/>
        </w:rPr>
        <w:t>- Sau phẫu thuật thần kinh sọ não.</w:t>
      </w:r>
    </w:p>
    <w:p w:rsidR="008C148D" w:rsidRPr="00A048F4" w:rsidRDefault="008C148D" w:rsidP="00037AF7">
      <w:pPr>
        <w:pStyle w:val="ListParagraph"/>
        <w:spacing w:after="0"/>
        <w:ind w:left="0"/>
        <w:jc w:val="both"/>
        <w:rPr>
          <w:rFonts w:ascii="Times New Roman" w:eastAsia="Times New Roman" w:hAnsi="Times New Roman" w:cs="Times New Roman"/>
          <w:sz w:val="28"/>
          <w:szCs w:val="28"/>
        </w:rPr>
      </w:pPr>
      <w:r w:rsidRPr="00A048F4">
        <w:rPr>
          <w:rFonts w:ascii="Times New Roman" w:eastAsia="Times New Roman" w:hAnsi="Times New Roman" w:cs="Times New Roman"/>
          <w:sz w:val="28"/>
          <w:szCs w:val="28"/>
        </w:rPr>
        <w:t>Mà bệnh án chỉ có chẩn đoán về THA</w:t>
      </w:r>
    </w:p>
    <w:p w:rsidR="008C148D" w:rsidRPr="00A048F4" w:rsidRDefault="005F31EC" w:rsidP="00037AF7">
      <w:pPr>
        <w:pStyle w:val="ListParagraph"/>
        <w:spacing w:after="0"/>
        <w:ind w:left="0" w:firstLine="357"/>
        <w:jc w:val="both"/>
        <w:rPr>
          <w:rFonts w:ascii="Times New Roman" w:eastAsia="Times New Roman" w:hAnsi="Times New Roman" w:cs="Times New Roman"/>
          <w:bCs/>
          <w:color w:val="333333"/>
          <w:sz w:val="28"/>
          <w:szCs w:val="28"/>
        </w:rPr>
      </w:pPr>
      <w:r w:rsidRPr="00A048F4">
        <w:rPr>
          <w:rFonts w:ascii="Times New Roman" w:hAnsi="Times New Roman" w:cs="Times New Roman"/>
          <w:sz w:val="28"/>
          <w:szCs w:val="28"/>
        </w:rPr>
        <w:t>15.</w:t>
      </w:r>
      <w:r w:rsidR="008C148D" w:rsidRPr="00A048F4">
        <w:rPr>
          <w:rFonts w:ascii="Times New Roman" w:hAnsi="Times New Roman" w:cs="Times New Roman"/>
          <w:sz w:val="28"/>
          <w:szCs w:val="28"/>
        </w:rPr>
        <w:t>10. Trimetazidin: không chấp nhận xuất toán</w:t>
      </w:r>
      <w:r w:rsidR="00481DBE" w:rsidRPr="00A048F4">
        <w:rPr>
          <w:rFonts w:ascii="Times New Roman" w:hAnsi="Times New Roman" w:cs="Times New Roman"/>
          <w:sz w:val="28"/>
          <w:szCs w:val="28"/>
        </w:rPr>
        <w:t xml:space="preserve"> ở</w:t>
      </w:r>
      <w:r w:rsidR="008C148D" w:rsidRPr="00A048F4">
        <w:rPr>
          <w:rFonts w:ascii="Times New Roman" w:hAnsi="Times New Roman" w:cs="Times New Roman"/>
          <w:sz w:val="28"/>
          <w:szCs w:val="28"/>
        </w:rPr>
        <w:t xml:space="preserve"> các bệnh án</w:t>
      </w:r>
      <w:r w:rsidR="00481DBE" w:rsidRPr="00A048F4">
        <w:rPr>
          <w:rFonts w:ascii="Times New Roman" w:hAnsi="Times New Roman" w:cs="Times New Roman"/>
          <w:sz w:val="28"/>
          <w:szCs w:val="28"/>
        </w:rPr>
        <w:t xml:space="preserve"> được chẩn đoán là</w:t>
      </w:r>
      <w:r w:rsidR="008C148D" w:rsidRPr="00A048F4">
        <w:rPr>
          <w:rFonts w:ascii="Times New Roman" w:hAnsi="Times New Roman" w:cs="Times New Roman"/>
          <w:sz w:val="28"/>
          <w:szCs w:val="28"/>
        </w:rPr>
        <w:t xml:space="preserve"> đau ngực</w:t>
      </w:r>
      <w:r w:rsidR="00481DBE" w:rsidRPr="00A048F4">
        <w:rPr>
          <w:rFonts w:ascii="Times New Roman" w:hAnsi="Times New Roman" w:cs="Times New Roman"/>
          <w:sz w:val="28"/>
          <w:szCs w:val="28"/>
        </w:rPr>
        <w:t xml:space="preserve"> (kể cả suy tim, vì suy tim cũng đau thắt ngưc do co </w:t>
      </w:r>
      <w:r w:rsidR="00072F91" w:rsidRPr="00A048F4">
        <w:rPr>
          <w:rFonts w:ascii="Times New Roman" w:hAnsi="Times New Roman" w:cs="Times New Roman"/>
          <w:sz w:val="28"/>
          <w:szCs w:val="28"/>
        </w:rPr>
        <w:t>thắt mạch vành hoặc nhồi máu cơ tim</w:t>
      </w:r>
      <w:r w:rsidR="00481DBE" w:rsidRPr="00A048F4">
        <w:rPr>
          <w:rFonts w:ascii="Times New Roman" w:hAnsi="Times New Roman" w:cs="Times New Roman"/>
          <w:sz w:val="28"/>
          <w:szCs w:val="28"/>
        </w:rPr>
        <w:t>)</w:t>
      </w:r>
      <w:r w:rsidR="008C148D" w:rsidRPr="00A048F4">
        <w:rPr>
          <w:rFonts w:ascii="Times New Roman" w:hAnsi="Times New Roman" w:cs="Times New Roman"/>
          <w:sz w:val="28"/>
          <w:szCs w:val="28"/>
        </w:rPr>
        <w:t xml:space="preserve">, vì </w:t>
      </w:r>
      <w:r w:rsidR="008C148D" w:rsidRPr="00A048F4">
        <w:rPr>
          <w:rFonts w:ascii="Times New Roman" w:eastAsia="Times New Roman" w:hAnsi="Times New Roman" w:cs="Times New Roman"/>
          <w:sz w:val="28"/>
          <w:szCs w:val="28"/>
        </w:rPr>
        <w:t xml:space="preserve">Quỹ bảo hiểm y tế thanh toán điều trị triệu chứng ở người bệnh đau thắt ngực ổn định không được kiểm soát đầy đủ hoặc người bệnh không dung nạp với các liệu pháp điều trị khác. (Đề nghị các Bs cho thêm chẩn đoán khác trong các mã ICD từ </w:t>
      </w:r>
      <w:r w:rsidR="008C148D" w:rsidRPr="00A048F4">
        <w:rPr>
          <w:rFonts w:ascii="Times New Roman" w:hAnsi="Times New Roman" w:cs="Times New Roman"/>
          <w:bCs/>
          <w:color w:val="333333"/>
          <w:sz w:val="28"/>
          <w:szCs w:val="28"/>
        </w:rPr>
        <w:t xml:space="preserve">I20-I25, có thể tham khảo như mã: </w:t>
      </w:r>
      <w:r w:rsidR="008C148D" w:rsidRPr="00A048F4">
        <w:rPr>
          <w:rFonts w:ascii="Times New Roman" w:eastAsia="Times New Roman" w:hAnsi="Times New Roman" w:cs="Times New Roman"/>
          <w:bCs/>
          <w:color w:val="333333"/>
          <w:sz w:val="28"/>
          <w:szCs w:val="28"/>
        </w:rPr>
        <w:t>I20.9 Cơn đau thắt ngực, không đặc hiệu….).</w:t>
      </w:r>
    </w:p>
    <w:p w:rsidR="00072F91" w:rsidRDefault="00072F91" w:rsidP="00037AF7">
      <w:pPr>
        <w:spacing w:after="0"/>
        <w:ind w:firstLine="357"/>
        <w:jc w:val="both"/>
        <w:rPr>
          <w:rFonts w:ascii="Times New Roman" w:eastAsia="Times New Roman" w:hAnsi="Times New Roman" w:cs="Times New Roman"/>
          <w:b/>
          <w:sz w:val="28"/>
          <w:szCs w:val="28"/>
        </w:rPr>
      </w:pPr>
      <w:r w:rsidRPr="00A048F4">
        <w:rPr>
          <w:rFonts w:ascii="Times New Roman" w:eastAsia="Times New Roman" w:hAnsi="Times New Roman" w:cs="Times New Roman"/>
          <w:b/>
          <w:sz w:val="28"/>
          <w:szCs w:val="28"/>
        </w:rPr>
        <w:t>1</w:t>
      </w:r>
      <w:r w:rsidR="005F31EC" w:rsidRPr="00A048F4">
        <w:rPr>
          <w:rFonts w:ascii="Times New Roman" w:eastAsia="Times New Roman" w:hAnsi="Times New Roman" w:cs="Times New Roman"/>
          <w:b/>
          <w:sz w:val="28"/>
          <w:szCs w:val="28"/>
        </w:rPr>
        <w:t>6</w:t>
      </w:r>
      <w:r w:rsidRPr="00A048F4">
        <w:rPr>
          <w:rFonts w:ascii="Times New Roman" w:eastAsia="Times New Roman" w:hAnsi="Times New Roman" w:cs="Times New Roman"/>
          <w:b/>
          <w:sz w:val="28"/>
          <w:szCs w:val="28"/>
        </w:rPr>
        <w:t>. Thuốc vượt tuyến (</w:t>
      </w:r>
      <w:r w:rsidRPr="00072F91">
        <w:rPr>
          <w:rFonts w:ascii="Times New Roman" w:eastAsia="Times New Roman" w:hAnsi="Times New Roman" w:cs="Times New Roman"/>
          <w:sz w:val="28"/>
          <w:szCs w:val="28"/>
        </w:rPr>
        <w:t>Cefoperazon + sulbactam*</w:t>
      </w:r>
      <w:r w:rsidRPr="00A048F4">
        <w:rPr>
          <w:rFonts w:ascii="Times New Roman" w:eastAsia="Times New Roman" w:hAnsi="Times New Roman" w:cs="Times New Roman"/>
          <w:sz w:val="28"/>
          <w:szCs w:val="28"/>
        </w:rPr>
        <w:t>): đây là thuốc tuyến 2 nhưng hiện tại TTYT Quỳ Châu đã được thực hiện nhiều DVKT thuộc tuyến 2</w:t>
      </w:r>
      <w:r w:rsidR="005F31EC" w:rsidRPr="00A048F4">
        <w:rPr>
          <w:rFonts w:ascii="Times New Roman" w:eastAsia="Times New Roman" w:hAnsi="Times New Roman" w:cs="Times New Roman"/>
          <w:sz w:val="28"/>
          <w:szCs w:val="28"/>
        </w:rPr>
        <w:t>. Nên những trường hợp sử dụng thuốc tuyến 2 đúng chỉ định, đứng DMKT và có biên bản hội chẩn thì vẫn hợp lý.</w:t>
      </w:r>
    </w:p>
    <w:p w:rsidR="008C148D" w:rsidRPr="00BC4C66" w:rsidRDefault="005D00D5" w:rsidP="00037AF7">
      <w:pPr>
        <w:spacing w:after="0"/>
        <w:ind w:firstLine="35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17. Thuốc Azithromycin:</w:t>
      </w:r>
      <w:r w:rsidR="009A69FF">
        <w:rPr>
          <w:rFonts w:ascii="Times New Roman" w:eastAsia="Times New Roman" w:hAnsi="Times New Roman" w:cs="Times New Roman"/>
          <w:b/>
          <w:sz w:val="28"/>
          <w:szCs w:val="28"/>
        </w:rPr>
        <w:t xml:space="preserve"> </w:t>
      </w:r>
      <w:r w:rsidR="009A69FF" w:rsidRPr="00BC4C66">
        <w:rPr>
          <w:rFonts w:ascii="Times New Roman" w:eastAsia="Times New Roman" w:hAnsi="Times New Roman" w:cs="Times New Roman"/>
          <w:sz w:val="28"/>
          <w:szCs w:val="28"/>
        </w:rPr>
        <w:t>việc chỉ định thuốc Azithromycin phải theo hướng dẫn sử dụng (giảm liều), ngày đầu 500mg, ngày 2 và ngày 3</w:t>
      </w:r>
      <w:r w:rsidR="00BC4C66">
        <w:rPr>
          <w:rFonts w:ascii="Times New Roman" w:eastAsia="Times New Roman" w:hAnsi="Times New Roman" w:cs="Times New Roman"/>
          <w:sz w:val="28"/>
          <w:szCs w:val="28"/>
        </w:rPr>
        <w:t xml:space="preserve"> dùng</w:t>
      </w:r>
      <w:r w:rsidR="009A69FF" w:rsidRPr="00BC4C66">
        <w:rPr>
          <w:rFonts w:ascii="Times New Roman" w:eastAsia="Times New Roman" w:hAnsi="Times New Roman" w:cs="Times New Roman"/>
          <w:sz w:val="28"/>
          <w:szCs w:val="28"/>
        </w:rPr>
        <w:t xml:space="preserve"> 250mg/ngày. Tuy nhiên do một số trường hợp bệnh nặng nên bác sỹ vẫn tiếp tục chỉ định dùng 1 viên/ngày x 3 ngày. Vì vậy đối với những trường hợp bệnh nặng</w:t>
      </w:r>
      <w:r w:rsidR="00BC4C66" w:rsidRPr="00BC4C66">
        <w:rPr>
          <w:rFonts w:ascii="Times New Roman" w:eastAsia="Times New Roman" w:hAnsi="Times New Roman" w:cs="Times New Roman"/>
          <w:sz w:val="28"/>
          <w:szCs w:val="28"/>
        </w:rPr>
        <w:t xml:space="preserve"> đề nghị BH không xuất toán vì dùng liều</w:t>
      </w:r>
      <w:r w:rsidR="00BC4C66">
        <w:rPr>
          <w:rFonts w:ascii="Times New Roman" w:eastAsia="Times New Roman" w:hAnsi="Times New Roman" w:cs="Times New Roman"/>
          <w:sz w:val="28"/>
          <w:szCs w:val="28"/>
        </w:rPr>
        <w:t xml:space="preserve"> không theo hướng dẫn sử dụng theo toa hướng dẫn.</w:t>
      </w:r>
    </w:p>
    <w:p w:rsidR="008C148D" w:rsidRPr="009A69FF" w:rsidRDefault="00B46A89" w:rsidP="00037AF7">
      <w:pPr>
        <w:spacing w:after="0"/>
        <w:ind w:firstLine="35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18. Tiếp nhận bệnh nhân nhẹ:</w:t>
      </w:r>
      <w:r w:rsidR="00037AF7">
        <w:rPr>
          <w:rFonts w:ascii="Times New Roman" w:eastAsia="Times New Roman" w:hAnsi="Times New Roman" w:cs="Times New Roman"/>
          <w:b/>
          <w:sz w:val="28"/>
          <w:szCs w:val="28"/>
        </w:rPr>
        <w:t xml:space="preserve"> </w:t>
      </w:r>
      <w:r w:rsidR="00037AF7" w:rsidRPr="00037AF7">
        <w:rPr>
          <w:rFonts w:ascii="Times New Roman" w:eastAsia="Times New Roman" w:hAnsi="Times New Roman" w:cs="Times New Roman"/>
          <w:b/>
          <w:i/>
          <w:sz w:val="28"/>
          <w:szCs w:val="28"/>
        </w:rPr>
        <w:t>đ</w:t>
      </w:r>
      <w:r w:rsidRPr="00037AF7">
        <w:rPr>
          <w:rFonts w:ascii="Times New Roman" w:eastAsia="Times New Roman" w:hAnsi="Times New Roman" w:cs="Times New Roman"/>
          <w:b/>
          <w:i/>
          <w:sz w:val="28"/>
          <w:szCs w:val="28"/>
        </w:rPr>
        <w:t>ồng ý xuấ</w:t>
      </w:r>
      <w:r w:rsidR="009A69FF" w:rsidRPr="00037AF7">
        <w:rPr>
          <w:rFonts w:ascii="Times New Roman" w:eastAsia="Times New Roman" w:hAnsi="Times New Roman" w:cs="Times New Roman"/>
          <w:b/>
          <w:i/>
          <w:sz w:val="28"/>
          <w:szCs w:val="28"/>
        </w:rPr>
        <w:t>t toán ngày giường đối với 3/55 trường</w:t>
      </w:r>
      <w:r w:rsidR="009A69FF" w:rsidRPr="009A69FF">
        <w:rPr>
          <w:rFonts w:ascii="Times New Roman" w:eastAsia="Times New Roman" w:hAnsi="Times New Roman" w:cs="Times New Roman"/>
          <w:sz w:val="28"/>
          <w:szCs w:val="28"/>
        </w:rPr>
        <w:t xml:space="preserve"> hợp mà BH cho là bệnh nhẹ</w:t>
      </w:r>
    </w:p>
    <w:p w:rsidR="006458DC" w:rsidRDefault="006458DC" w:rsidP="00037AF7">
      <w:pPr>
        <w:spacing w:after="0"/>
        <w:ind w:firstLine="357"/>
        <w:jc w:val="both"/>
        <w:rPr>
          <w:rFonts w:ascii="Times New Roman" w:eastAsia="Times New Roman" w:hAnsi="Times New Roman" w:cs="Times New Roman"/>
          <w:sz w:val="28"/>
          <w:szCs w:val="28"/>
        </w:rPr>
      </w:pPr>
      <w:r w:rsidRPr="00BC4C66">
        <w:rPr>
          <w:rFonts w:ascii="Times New Roman" w:eastAsia="Times New Roman" w:hAnsi="Times New Roman" w:cs="Times New Roman"/>
          <w:b/>
          <w:sz w:val="28"/>
          <w:szCs w:val="28"/>
        </w:rPr>
        <w:t xml:space="preserve">11. </w:t>
      </w:r>
      <w:r w:rsidR="00A44751" w:rsidRPr="00BC4C66">
        <w:rPr>
          <w:rFonts w:ascii="Times New Roman" w:eastAsia="Times New Roman" w:hAnsi="Times New Roman" w:cs="Times New Roman"/>
          <w:b/>
          <w:sz w:val="28"/>
          <w:szCs w:val="28"/>
        </w:rPr>
        <w:t>Bệnh nhân</w:t>
      </w:r>
      <w:r w:rsidRPr="00BC4C66">
        <w:rPr>
          <w:rFonts w:ascii="Times New Roman" w:eastAsia="Times New Roman" w:hAnsi="Times New Roman" w:cs="Times New Roman"/>
          <w:b/>
          <w:sz w:val="28"/>
          <w:szCs w:val="28"/>
        </w:rPr>
        <w:t xml:space="preserve"> hồi sức cấp cứu:</w:t>
      </w:r>
      <w:r w:rsidR="00A44751" w:rsidRPr="009A69FF">
        <w:rPr>
          <w:rFonts w:ascii="Times New Roman" w:eastAsia="Times New Roman" w:hAnsi="Times New Roman" w:cs="Times New Roman"/>
          <w:sz w:val="28"/>
          <w:szCs w:val="28"/>
        </w:rPr>
        <w:t xml:space="preserve"> </w:t>
      </w:r>
      <w:r w:rsidR="00A44751" w:rsidRPr="00037AF7">
        <w:rPr>
          <w:rFonts w:ascii="Times New Roman" w:eastAsia="Times New Roman" w:hAnsi="Times New Roman" w:cs="Times New Roman"/>
          <w:b/>
          <w:i/>
          <w:sz w:val="28"/>
          <w:szCs w:val="28"/>
        </w:rPr>
        <w:t xml:space="preserve">đồng ý xuất </w:t>
      </w:r>
      <w:r w:rsidR="009A69FF" w:rsidRPr="00037AF7">
        <w:rPr>
          <w:rFonts w:ascii="Times New Roman" w:eastAsia="Times New Roman" w:hAnsi="Times New Roman" w:cs="Times New Roman"/>
          <w:b/>
          <w:i/>
          <w:sz w:val="28"/>
          <w:szCs w:val="28"/>
        </w:rPr>
        <w:t>toán</w:t>
      </w:r>
      <w:r w:rsidR="00A44751" w:rsidRPr="00037AF7">
        <w:rPr>
          <w:rFonts w:ascii="Times New Roman" w:eastAsia="Times New Roman" w:hAnsi="Times New Roman" w:cs="Times New Roman"/>
          <w:b/>
          <w:i/>
          <w:sz w:val="28"/>
          <w:szCs w:val="28"/>
        </w:rPr>
        <w:t xml:space="preserve"> 1 phần</w:t>
      </w:r>
      <w:r w:rsidR="009A69FF" w:rsidRPr="00037AF7">
        <w:rPr>
          <w:rFonts w:ascii="Times New Roman" w:eastAsia="Times New Roman" w:hAnsi="Times New Roman" w:cs="Times New Roman"/>
          <w:b/>
          <w:i/>
          <w:sz w:val="28"/>
          <w:szCs w:val="28"/>
        </w:rPr>
        <w:t xml:space="preserve"> ngày giường</w:t>
      </w:r>
      <w:r w:rsidR="00A44751" w:rsidRPr="00037AF7">
        <w:rPr>
          <w:rFonts w:ascii="Times New Roman" w:eastAsia="Times New Roman" w:hAnsi="Times New Roman" w:cs="Times New Roman"/>
          <w:b/>
          <w:i/>
          <w:sz w:val="28"/>
          <w:szCs w:val="28"/>
        </w:rPr>
        <w:t xml:space="preserve"> của</w:t>
      </w:r>
      <w:r w:rsidR="009A69FF" w:rsidRPr="00037AF7">
        <w:rPr>
          <w:rFonts w:ascii="Times New Roman" w:eastAsia="Times New Roman" w:hAnsi="Times New Roman" w:cs="Times New Roman"/>
          <w:b/>
          <w:i/>
          <w:sz w:val="28"/>
          <w:szCs w:val="28"/>
        </w:rPr>
        <w:t xml:space="preserve"> 4/23</w:t>
      </w:r>
      <w:r w:rsidR="00A44751" w:rsidRPr="00037AF7">
        <w:rPr>
          <w:rFonts w:ascii="Times New Roman" w:eastAsia="Times New Roman" w:hAnsi="Times New Roman" w:cs="Times New Roman"/>
          <w:b/>
          <w:i/>
          <w:sz w:val="28"/>
          <w:szCs w:val="28"/>
        </w:rPr>
        <w:t xml:space="preserve"> hồ sơ</w:t>
      </w:r>
      <w:r w:rsidR="00A44751" w:rsidRPr="009A69FF">
        <w:rPr>
          <w:rFonts w:ascii="Times New Roman" w:eastAsia="Times New Roman" w:hAnsi="Times New Roman" w:cs="Times New Roman"/>
          <w:sz w:val="28"/>
          <w:szCs w:val="28"/>
        </w:rPr>
        <w:t xml:space="preserve"> do thanh toán vượt quá số ngày quy định</w:t>
      </w:r>
      <w:r w:rsidR="009A69FF">
        <w:rPr>
          <w:rFonts w:ascii="Times New Roman" w:eastAsia="Times New Roman" w:hAnsi="Times New Roman" w:cs="Times New Roman"/>
          <w:sz w:val="28"/>
          <w:szCs w:val="28"/>
        </w:rPr>
        <w:t>.</w:t>
      </w:r>
    </w:p>
    <w:p w:rsidR="009A69FF" w:rsidRPr="009A69FF" w:rsidRDefault="009A69FF" w:rsidP="00037AF7">
      <w:pPr>
        <w:spacing w:after="0"/>
        <w:ind w:firstLine="357"/>
        <w:jc w:val="both"/>
        <w:rPr>
          <w:rFonts w:ascii="Times New Roman" w:eastAsia="Times New Roman" w:hAnsi="Times New Roman" w:cs="Times New Roman"/>
          <w:sz w:val="28"/>
          <w:szCs w:val="28"/>
        </w:rPr>
      </w:pPr>
    </w:p>
    <w:p w:rsidR="005C28A0" w:rsidRPr="005F31EC" w:rsidRDefault="005F31EC" w:rsidP="00037AF7">
      <w:pPr>
        <w:spacing w:after="0"/>
        <w:jc w:val="both"/>
        <w:rPr>
          <w:rFonts w:ascii="Times New Roman" w:hAnsi="Times New Roman" w:cs="Times New Roman"/>
          <w:b/>
          <w:sz w:val="28"/>
          <w:szCs w:val="28"/>
        </w:rPr>
      </w:pPr>
      <w:r>
        <w:rPr>
          <w:rFonts w:ascii="Times New Roman" w:hAnsi="Times New Roman" w:cs="Times New Roman"/>
          <w:sz w:val="28"/>
          <w:szCs w:val="28"/>
        </w:rPr>
        <w:t>Nơi nhận: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A69FF">
        <w:rPr>
          <w:rFonts w:ascii="Times New Roman" w:hAnsi="Times New Roman" w:cs="Times New Roman"/>
          <w:sz w:val="28"/>
          <w:szCs w:val="28"/>
        </w:rPr>
        <w:tab/>
      </w:r>
      <w:r w:rsidRPr="005F31EC">
        <w:rPr>
          <w:rFonts w:ascii="Times New Roman" w:hAnsi="Times New Roman" w:cs="Times New Roman"/>
          <w:b/>
          <w:sz w:val="28"/>
          <w:szCs w:val="28"/>
        </w:rPr>
        <w:t>KT. GIÁM ĐỐC</w:t>
      </w:r>
    </w:p>
    <w:p w:rsidR="005F31EC" w:rsidRDefault="005F31EC" w:rsidP="00037AF7">
      <w:pPr>
        <w:spacing w:after="0"/>
        <w:jc w:val="both"/>
        <w:rPr>
          <w:rFonts w:ascii="Times New Roman" w:hAnsi="Times New Roman" w:cs="Times New Roman"/>
          <w:sz w:val="28"/>
          <w:szCs w:val="28"/>
        </w:rPr>
      </w:pPr>
      <w:r w:rsidRPr="005F31EC">
        <w:rPr>
          <w:rFonts w:ascii="Times New Roman" w:hAnsi="Times New Roman" w:cs="Times New Roman"/>
          <w:sz w:val="24"/>
          <w:szCs w:val="24"/>
        </w:rPr>
        <w:t>- Như kính gửi;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A69FF">
        <w:rPr>
          <w:rFonts w:ascii="Times New Roman" w:hAnsi="Times New Roman" w:cs="Times New Roman"/>
          <w:sz w:val="28"/>
          <w:szCs w:val="28"/>
        </w:rPr>
        <w:tab/>
      </w:r>
      <w:r w:rsidRPr="005F31EC">
        <w:rPr>
          <w:rFonts w:ascii="Times New Roman" w:hAnsi="Times New Roman" w:cs="Times New Roman"/>
          <w:b/>
          <w:sz w:val="28"/>
          <w:szCs w:val="28"/>
        </w:rPr>
        <w:t>PHÓ GIÁM ĐỐC</w:t>
      </w:r>
    </w:p>
    <w:p w:rsidR="005F31EC" w:rsidRPr="005F31EC" w:rsidRDefault="005F31EC" w:rsidP="00037AF7">
      <w:pPr>
        <w:spacing w:after="0"/>
        <w:jc w:val="both"/>
        <w:rPr>
          <w:rFonts w:ascii="Times New Roman" w:hAnsi="Times New Roman" w:cs="Times New Roman"/>
          <w:sz w:val="24"/>
          <w:szCs w:val="24"/>
        </w:rPr>
      </w:pPr>
      <w:r w:rsidRPr="005F31EC">
        <w:rPr>
          <w:rFonts w:ascii="Times New Roman" w:hAnsi="Times New Roman" w:cs="Times New Roman"/>
          <w:sz w:val="24"/>
          <w:szCs w:val="24"/>
        </w:rPr>
        <w:t>- Ban Giám đốc TTYT;</w:t>
      </w:r>
    </w:p>
    <w:p w:rsidR="005F31EC" w:rsidRPr="005F31EC" w:rsidRDefault="005F31EC" w:rsidP="00037AF7">
      <w:pPr>
        <w:spacing w:after="0"/>
        <w:jc w:val="both"/>
        <w:rPr>
          <w:rFonts w:ascii="Times New Roman" w:hAnsi="Times New Roman" w:cs="Times New Roman"/>
          <w:sz w:val="24"/>
          <w:szCs w:val="24"/>
        </w:rPr>
      </w:pPr>
      <w:r w:rsidRPr="005F31EC">
        <w:rPr>
          <w:rFonts w:ascii="Times New Roman" w:hAnsi="Times New Roman" w:cs="Times New Roman"/>
          <w:sz w:val="24"/>
          <w:szCs w:val="24"/>
        </w:rPr>
        <w:t>- Trưởng các khoa/phòng;</w:t>
      </w:r>
    </w:p>
    <w:p w:rsidR="005F31EC" w:rsidRPr="005F31EC" w:rsidRDefault="005F31EC" w:rsidP="00037AF7">
      <w:pPr>
        <w:spacing w:after="0"/>
        <w:jc w:val="both"/>
        <w:rPr>
          <w:rFonts w:ascii="Times New Roman" w:hAnsi="Times New Roman" w:cs="Times New Roman"/>
          <w:sz w:val="24"/>
          <w:szCs w:val="24"/>
        </w:rPr>
      </w:pPr>
      <w:r w:rsidRPr="005F31EC">
        <w:rPr>
          <w:rFonts w:ascii="Times New Roman" w:hAnsi="Times New Roman" w:cs="Times New Roman"/>
          <w:sz w:val="24"/>
          <w:szCs w:val="24"/>
        </w:rPr>
        <w:t>- Lưu VT.</w:t>
      </w:r>
    </w:p>
    <w:p w:rsidR="005C28A0" w:rsidRPr="005C28A0" w:rsidRDefault="005F31EC" w:rsidP="00037AF7">
      <w:pPr>
        <w:spacing w:after="0"/>
        <w:ind w:left="504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9A69FF">
        <w:rPr>
          <w:rFonts w:ascii="Times New Roman" w:hAnsi="Times New Roman" w:cs="Times New Roman"/>
          <w:b/>
          <w:sz w:val="28"/>
          <w:szCs w:val="28"/>
        </w:rPr>
        <w:tab/>
      </w:r>
      <w:r w:rsidR="005C28A0" w:rsidRPr="005C28A0">
        <w:rPr>
          <w:rFonts w:ascii="Times New Roman" w:hAnsi="Times New Roman" w:cs="Times New Roman"/>
          <w:b/>
          <w:sz w:val="28"/>
          <w:szCs w:val="28"/>
        </w:rPr>
        <w:t>Lô Thanh Quý</w:t>
      </w:r>
    </w:p>
    <w:sectPr w:rsidR="005C28A0" w:rsidRPr="005C28A0" w:rsidSect="00037AF7">
      <w:pgSz w:w="12240" w:h="15840"/>
      <w:pgMar w:top="1276"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6C93"/>
    <w:multiLevelType w:val="hybridMultilevel"/>
    <w:tmpl w:val="AB184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81D07"/>
    <w:multiLevelType w:val="hybridMultilevel"/>
    <w:tmpl w:val="EAC2AB78"/>
    <w:lvl w:ilvl="0" w:tplc="0DBAFCFC">
      <w:start w:val="2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F585F"/>
    <w:rsid w:val="00025CF3"/>
    <w:rsid w:val="00037AF7"/>
    <w:rsid w:val="00072F91"/>
    <w:rsid w:val="0011080E"/>
    <w:rsid w:val="00182E86"/>
    <w:rsid w:val="00225949"/>
    <w:rsid w:val="00230B81"/>
    <w:rsid w:val="00233D8F"/>
    <w:rsid w:val="00254AD1"/>
    <w:rsid w:val="00261DF6"/>
    <w:rsid w:val="00332606"/>
    <w:rsid w:val="0038251E"/>
    <w:rsid w:val="003913F6"/>
    <w:rsid w:val="0039333A"/>
    <w:rsid w:val="003F3517"/>
    <w:rsid w:val="00430AE3"/>
    <w:rsid w:val="00454911"/>
    <w:rsid w:val="00481DBE"/>
    <w:rsid w:val="004937AC"/>
    <w:rsid w:val="004D53BC"/>
    <w:rsid w:val="004D65B2"/>
    <w:rsid w:val="004F11AD"/>
    <w:rsid w:val="00527AB9"/>
    <w:rsid w:val="00535CB0"/>
    <w:rsid w:val="00596DCC"/>
    <w:rsid w:val="005C28A0"/>
    <w:rsid w:val="005D00D5"/>
    <w:rsid w:val="005F31EC"/>
    <w:rsid w:val="005F585F"/>
    <w:rsid w:val="00607597"/>
    <w:rsid w:val="006458DC"/>
    <w:rsid w:val="00660B33"/>
    <w:rsid w:val="00681FE6"/>
    <w:rsid w:val="007176DE"/>
    <w:rsid w:val="00744BE6"/>
    <w:rsid w:val="007A0706"/>
    <w:rsid w:val="007D3FD1"/>
    <w:rsid w:val="007E2E2D"/>
    <w:rsid w:val="007E794E"/>
    <w:rsid w:val="008033DB"/>
    <w:rsid w:val="00842465"/>
    <w:rsid w:val="008A746A"/>
    <w:rsid w:val="008C148D"/>
    <w:rsid w:val="008E02F0"/>
    <w:rsid w:val="008F4ED3"/>
    <w:rsid w:val="00901E43"/>
    <w:rsid w:val="009A1995"/>
    <w:rsid w:val="009A69FF"/>
    <w:rsid w:val="009B5BF9"/>
    <w:rsid w:val="009D33BF"/>
    <w:rsid w:val="009E3710"/>
    <w:rsid w:val="009E7F3D"/>
    <w:rsid w:val="00A048F4"/>
    <w:rsid w:val="00A1437E"/>
    <w:rsid w:val="00A36ECC"/>
    <w:rsid w:val="00A44751"/>
    <w:rsid w:val="00A759E8"/>
    <w:rsid w:val="00AD46CF"/>
    <w:rsid w:val="00B175D4"/>
    <w:rsid w:val="00B46A89"/>
    <w:rsid w:val="00B74FB4"/>
    <w:rsid w:val="00B86458"/>
    <w:rsid w:val="00BC4C66"/>
    <w:rsid w:val="00CE05E4"/>
    <w:rsid w:val="00D6236D"/>
    <w:rsid w:val="00D67B39"/>
    <w:rsid w:val="00D71396"/>
    <w:rsid w:val="00E23C3C"/>
    <w:rsid w:val="00E77CC5"/>
    <w:rsid w:val="00F02134"/>
    <w:rsid w:val="00F07689"/>
    <w:rsid w:val="00F171C0"/>
    <w:rsid w:val="00F36750"/>
    <w:rsid w:val="00FD5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E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85F"/>
    <w:pPr>
      <w:ind w:left="720"/>
      <w:contextualSpacing/>
    </w:pPr>
  </w:style>
  <w:style w:type="paragraph" w:styleId="BodyText">
    <w:name w:val="Body Text"/>
    <w:basedOn w:val="Normal"/>
    <w:link w:val="BodyTextChar"/>
    <w:rsid w:val="00D67B39"/>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D67B39"/>
    <w:rPr>
      <w:rFonts w:ascii="Times New Roman" w:eastAsia="Times New Roman" w:hAnsi="Times New Roman" w:cs="Times New Roman"/>
      <w:sz w:val="28"/>
      <w:szCs w:val="28"/>
    </w:rPr>
  </w:style>
  <w:style w:type="paragraph" w:styleId="NormalWeb">
    <w:name w:val="Normal (Web)"/>
    <w:basedOn w:val="Normal"/>
    <w:uiPriority w:val="99"/>
    <w:semiHidden/>
    <w:unhideWhenUsed/>
    <w:rsid w:val="00744B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7763784">
      <w:bodyDiv w:val="1"/>
      <w:marLeft w:val="0"/>
      <w:marRight w:val="0"/>
      <w:marTop w:val="0"/>
      <w:marBottom w:val="0"/>
      <w:divBdr>
        <w:top w:val="none" w:sz="0" w:space="0" w:color="auto"/>
        <w:left w:val="none" w:sz="0" w:space="0" w:color="auto"/>
        <w:bottom w:val="none" w:sz="0" w:space="0" w:color="auto"/>
        <w:right w:val="none" w:sz="0" w:space="0" w:color="auto"/>
      </w:divBdr>
    </w:div>
    <w:div w:id="380522556">
      <w:bodyDiv w:val="1"/>
      <w:marLeft w:val="0"/>
      <w:marRight w:val="0"/>
      <w:marTop w:val="0"/>
      <w:marBottom w:val="0"/>
      <w:divBdr>
        <w:top w:val="none" w:sz="0" w:space="0" w:color="auto"/>
        <w:left w:val="none" w:sz="0" w:space="0" w:color="auto"/>
        <w:bottom w:val="none" w:sz="0" w:space="0" w:color="auto"/>
        <w:right w:val="none" w:sz="0" w:space="0" w:color="auto"/>
      </w:divBdr>
    </w:div>
    <w:div w:id="615140005">
      <w:bodyDiv w:val="1"/>
      <w:marLeft w:val="0"/>
      <w:marRight w:val="0"/>
      <w:marTop w:val="0"/>
      <w:marBottom w:val="0"/>
      <w:divBdr>
        <w:top w:val="none" w:sz="0" w:space="0" w:color="auto"/>
        <w:left w:val="none" w:sz="0" w:space="0" w:color="auto"/>
        <w:bottom w:val="none" w:sz="0" w:space="0" w:color="auto"/>
        <w:right w:val="none" w:sz="0" w:space="0" w:color="auto"/>
      </w:divBdr>
    </w:div>
    <w:div w:id="2052075739">
      <w:bodyDiv w:val="1"/>
      <w:marLeft w:val="0"/>
      <w:marRight w:val="0"/>
      <w:marTop w:val="0"/>
      <w:marBottom w:val="0"/>
      <w:divBdr>
        <w:top w:val="none" w:sz="0" w:space="0" w:color="auto"/>
        <w:left w:val="none" w:sz="0" w:space="0" w:color="auto"/>
        <w:bottom w:val="none" w:sz="0" w:space="0" w:color="auto"/>
        <w:right w:val="none" w:sz="0" w:space="0" w:color="auto"/>
      </w:divBdr>
    </w:div>
    <w:div w:id="211964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4</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cp:lastPrinted>2019-11-12T00:28:00Z</cp:lastPrinted>
  <dcterms:created xsi:type="dcterms:W3CDTF">2019-11-11T09:52:00Z</dcterms:created>
  <dcterms:modified xsi:type="dcterms:W3CDTF">2020-02-11T09:43:00Z</dcterms:modified>
</cp:coreProperties>
</file>