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240"/>
        <w:gridCol w:w="6120"/>
      </w:tblGrid>
      <w:tr w:rsidR="008722B0" w:rsidRPr="000B301F" w:rsidTr="007F17B0">
        <w:trPr>
          <w:trHeight w:val="920"/>
        </w:trPr>
        <w:tc>
          <w:tcPr>
            <w:tcW w:w="3240" w:type="dxa"/>
            <w:hideMark/>
          </w:tcPr>
          <w:p w:rsidR="008722B0" w:rsidRPr="000B301F" w:rsidRDefault="008722B0" w:rsidP="007F17B0">
            <w:pPr>
              <w:widowControl w:val="0"/>
              <w:spacing w:after="0"/>
              <w:jc w:val="center"/>
              <w:rPr>
                <w:rFonts w:ascii="Times New Roman" w:hAnsi="Times New Roman" w:cs="Times New Roman"/>
                <w:b/>
                <w:color w:val="000000"/>
                <w:sz w:val="28"/>
                <w:szCs w:val="28"/>
                <w:lang w:val="vi-VN" w:eastAsia="vi-VN"/>
              </w:rPr>
            </w:pPr>
            <w:r w:rsidRPr="000B301F">
              <w:rPr>
                <w:rFonts w:ascii="Times New Roman" w:hAnsi="Times New Roman" w:cs="Times New Roman"/>
                <w:b/>
                <w:sz w:val="28"/>
                <w:szCs w:val="28"/>
              </w:rPr>
              <w:t>BỘ Y TẾ - BỘ TÀI NGUYÊN VÀ MÔI TRƯỜNG</w:t>
            </w:r>
            <w:r w:rsidRPr="000B301F">
              <w:rPr>
                <w:rFonts w:ascii="Times New Roman" w:hAnsi="Times New Roman" w:cs="Times New Roman"/>
                <w:b/>
                <w:sz w:val="28"/>
                <w:szCs w:val="28"/>
              </w:rPr>
              <w:br/>
              <w:t>-------</w:t>
            </w:r>
            <w:r w:rsidRPr="000B301F">
              <w:rPr>
                <w:rFonts w:ascii="Times New Roman" w:hAnsi="Times New Roman" w:cs="Times New Roman"/>
                <w:sz w:val="28"/>
                <w:szCs w:val="28"/>
              </w:rPr>
              <w:t xml:space="preserve"> </w:t>
            </w:r>
          </w:p>
          <w:p w:rsidR="008722B0" w:rsidRPr="000B301F" w:rsidRDefault="008722B0" w:rsidP="007F17B0">
            <w:pPr>
              <w:widowControl w:val="0"/>
              <w:spacing w:after="0"/>
              <w:jc w:val="center"/>
              <w:rPr>
                <w:rFonts w:ascii="Times New Roman" w:hAnsi="Times New Roman" w:cs="Times New Roman"/>
                <w:b/>
                <w:color w:val="000000"/>
                <w:sz w:val="28"/>
                <w:szCs w:val="28"/>
                <w:lang w:val="vi-VN" w:eastAsia="vi-VN"/>
              </w:rPr>
            </w:pPr>
            <w:r w:rsidRPr="000B301F">
              <w:rPr>
                <w:rFonts w:ascii="Times New Roman" w:hAnsi="Times New Roman" w:cs="Times New Roman"/>
                <w:sz w:val="28"/>
                <w:szCs w:val="28"/>
              </w:rPr>
              <w:t>Số: 58/2015/TTLT-BYT-BTNMT</w:t>
            </w:r>
          </w:p>
        </w:tc>
        <w:tc>
          <w:tcPr>
            <w:tcW w:w="6120" w:type="dxa"/>
            <w:hideMark/>
          </w:tcPr>
          <w:p w:rsidR="008722B0" w:rsidRPr="000B301F" w:rsidRDefault="008722B0" w:rsidP="007F17B0">
            <w:pPr>
              <w:widowControl w:val="0"/>
              <w:spacing w:after="0"/>
              <w:jc w:val="center"/>
              <w:rPr>
                <w:rFonts w:ascii="Times New Roman" w:hAnsi="Times New Roman" w:cs="Times New Roman"/>
                <w:color w:val="000000"/>
                <w:sz w:val="28"/>
                <w:szCs w:val="28"/>
                <w:lang w:val="vi-VN" w:eastAsia="vi-VN"/>
              </w:rPr>
            </w:pPr>
            <w:r w:rsidRPr="000B301F">
              <w:rPr>
                <w:rFonts w:ascii="Times New Roman" w:hAnsi="Times New Roman" w:cs="Times New Roman"/>
                <w:b/>
                <w:sz w:val="28"/>
                <w:szCs w:val="28"/>
              </w:rPr>
              <w:t>CỘNG HÒA XÃ HỘI CHỦ NGHĨA VIỆT NAM</w:t>
            </w:r>
            <w:r w:rsidRPr="000B301F">
              <w:rPr>
                <w:rFonts w:ascii="Times New Roman" w:hAnsi="Times New Roman" w:cs="Times New Roman"/>
                <w:b/>
                <w:sz w:val="28"/>
                <w:szCs w:val="28"/>
              </w:rPr>
              <w:br/>
              <w:t xml:space="preserve">Độc lập - Tự do - Hạnh phúc </w:t>
            </w:r>
            <w:r w:rsidRPr="000B301F">
              <w:rPr>
                <w:rFonts w:ascii="Times New Roman" w:hAnsi="Times New Roman" w:cs="Times New Roman"/>
                <w:b/>
                <w:sz w:val="28"/>
                <w:szCs w:val="28"/>
              </w:rPr>
              <w:br/>
              <w:t>---------------</w:t>
            </w:r>
          </w:p>
          <w:p w:rsidR="008722B0" w:rsidRPr="000B301F" w:rsidRDefault="008722B0" w:rsidP="007F17B0">
            <w:pPr>
              <w:widowControl w:val="0"/>
              <w:spacing w:after="0"/>
              <w:jc w:val="right"/>
              <w:rPr>
                <w:rFonts w:ascii="Times New Roman" w:hAnsi="Times New Roman" w:cs="Times New Roman"/>
                <w:color w:val="000000"/>
                <w:sz w:val="28"/>
                <w:szCs w:val="28"/>
                <w:lang w:val="vi-VN" w:eastAsia="vi-VN"/>
              </w:rPr>
            </w:pPr>
            <w:r w:rsidRPr="000B301F">
              <w:rPr>
                <w:rFonts w:ascii="Times New Roman" w:hAnsi="Times New Roman" w:cs="Times New Roman"/>
                <w:i/>
                <w:sz w:val="28"/>
                <w:szCs w:val="28"/>
              </w:rPr>
              <w:t>Hà Nội, ngày 31 tháng 12 năm 2015</w:t>
            </w:r>
          </w:p>
        </w:tc>
      </w:tr>
    </w:tbl>
    <w:p w:rsidR="008722B0" w:rsidRPr="000B301F" w:rsidRDefault="008722B0" w:rsidP="008722B0">
      <w:pPr>
        <w:spacing w:after="0"/>
        <w:rPr>
          <w:rFonts w:ascii="Times New Roman" w:hAnsi="Times New Roman" w:cs="Times New Roman"/>
          <w:color w:val="000000"/>
          <w:sz w:val="28"/>
          <w:szCs w:val="28"/>
          <w:lang w:eastAsia="vi-VN"/>
        </w:rPr>
      </w:pPr>
    </w:p>
    <w:p w:rsidR="008722B0" w:rsidRPr="000B301F" w:rsidRDefault="008722B0" w:rsidP="008722B0">
      <w:pPr>
        <w:spacing w:after="0"/>
        <w:jc w:val="center"/>
        <w:rPr>
          <w:rFonts w:ascii="Times New Roman" w:hAnsi="Times New Roman" w:cs="Times New Roman"/>
          <w:b/>
          <w:sz w:val="28"/>
          <w:szCs w:val="28"/>
        </w:rPr>
      </w:pPr>
      <w:r w:rsidRPr="000B301F">
        <w:rPr>
          <w:rFonts w:ascii="Times New Roman" w:hAnsi="Times New Roman" w:cs="Times New Roman"/>
          <w:b/>
          <w:sz w:val="28"/>
          <w:szCs w:val="28"/>
        </w:rPr>
        <w:t>THÔNG TƯ LIÊN TỊCH</w:t>
      </w:r>
    </w:p>
    <w:p w:rsidR="008722B0" w:rsidRPr="000B301F" w:rsidRDefault="008722B0" w:rsidP="008722B0">
      <w:pPr>
        <w:spacing w:after="0"/>
        <w:jc w:val="center"/>
        <w:rPr>
          <w:rFonts w:ascii="Times New Roman" w:hAnsi="Times New Roman" w:cs="Times New Roman"/>
          <w:b/>
          <w:sz w:val="28"/>
          <w:szCs w:val="28"/>
        </w:rPr>
      </w:pPr>
      <w:r w:rsidRPr="000B301F">
        <w:rPr>
          <w:rFonts w:ascii="Times New Roman" w:hAnsi="Times New Roman" w:cs="Times New Roman"/>
          <w:b/>
          <w:sz w:val="28"/>
          <w:szCs w:val="28"/>
        </w:rPr>
        <w:t>QUY ĐỊNH VỀ QUẢN LÝ CHẤT THẢI Y TẾ</w:t>
      </w:r>
    </w:p>
    <w:p w:rsidR="008722B0" w:rsidRDefault="008722B0" w:rsidP="008722B0">
      <w:pPr>
        <w:spacing w:after="0"/>
        <w:jc w:val="center"/>
        <w:rPr>
          <w:rFonts w:ascii="Times New Roman" w:hAnsi="Times New Roman" w:cs="Times New Roman"/>
          <w:b/>
          <w:sz w:val="28"/>
          <w:szCs w:val="28"/>
        </w:rPr>
      </w:pPr>
    </w:p>
    <w:p w:rsidR="008722B0" w:rsidRPr="000B301F" w:rsidRDefault="008722B0" w:rsidP="008722B0">
      <w:pPr>
        <w:spacing w:after="0"/>
        <w:jc w:val="center"/>
        <w:rPr>
          <w:rFonts w:ascii="Times New Roman" w:hAnsi="Times New Roman" w:cs="Times New Roman"/>
          <w:b/>
          <w:sz w:val="28"/>
          <w:szCs w:val="28"/>
        </w:rPr>
      </w:pPr>
      <w:r w:rsidRPr="000B301F">
        <w:rPr>
          <w:rFonts w:ascii="Times New Roman" w:hAnsi="Times New Roman" w:cs="Times New Roman"/>
          <w:b/>
          <w:sz w:val="28"/>
          <w:szCs w:val="28"/>
        </w:rPr>
        <w:t>Chương II</w:t>
      </w:r>
    </w:p>
    <w:p w:rsidR="008722B0" w:rsidRPr="000B301F" w:rsidRDefault="008722B0" w:rsidP="008722B0">
      <w:pPr>
        <w:spacing w:after="0"/>
        <w:jc w:val="center"/>
        <w:rPr>
          <w:rFonts w:ascii="Times New Roman" w:hAnsi="Times New Roman" w:cs="Times New Roman"/>
          <w:b/>
          <w:sz w:val="28"/>
          <w:szCs w:val="28"/>
        </w:rPr>
      </w:pPr>
      <w:r w:rsidRPr="000B301F">
        <w:rPr>
          <w:rFonts w:ascii="Times New Roman" w:hAnsi="Times New Roman" w:cs="Times New Roman"/>
          <w:b/>
          <w:sz w:val="28"/>
          <w:szCs w:val="28"/>
        </w:rPr>
        <w:t>QUẢN LÝ CHẤT THẢI Y TẾ</w:t>
      </w:r>
    </w:p>
    <w:p w:rsidR="008722B0" w:rsidRPr="000B301F" w:rsidRDefault="008722B0" w:rsidP="008722B0">
      <w:pPr>
        <w:spacing w:after="0"/>
        <w:jc w:val="center"/>
        <w:rPr>
          <w:rFonts w:ascii="Times New Roman" w:hAnsi="Times New Roman" w:cs="Times New Roman"/>
          <w:b/>
          <w:sz w:val="28"/>
          <w:szCs w:val="28"/>
        </w:rPr>
      </w:pPr>
    </w:p>
    <w:p w:rsidR="008722B0" w:rsidRPr="000B301F" w:rsidRDefault="008722B0" w:rsidP="008722B0">
      <w:pPr>
        <w:spacing w:after="0"/>
        <w:ind w:firstLine="720"/>
        <w:jc w:val="both"/>
        <w:rPr>
          <w:rFonts w:ascii="Times New Roman" w:hAnsi="Times New Roman" w:cs="Times New Roman"/>
          <w:b/>
          <w:sz w:val="28"/>
          <w:szCs w:val="28"/>
          <w:lang w:val="vi-VN"/>
        </w:rPr>
      </w:pPr>
      <w:r w:rsidRPr="000B301F">
        <w:rPr>
          <w:rFonts w:ascii="Times New Roman" w:hAnsi="Times New Roman" w:cs="Times New Roman"/>
          <w:b/>
          <w:sz w:val="28"/>
          <w:szCs w:val="28"/>
        </w:rPr>
        <w:t>Mục 1: PHÂN ĐỊNH, PHÂN LOẠI, THU GOM, LƯU GIỮ, GIẢM THIỂU, TÁI CHẾ CHẤT THẢI Y TẾ NGUY HẠI VÀ CHẤT THẢI Y TẾ THÔNG THƯỜNG</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highlight w:val="yellow"/>
        </w:rPr>
        <w:t>Điều 4. Phân định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1. Chất thải lây nhiễm bao gồm: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Chất thải lây nhiễm sắc nhọn là chất thải lây nhiễm có thể gây ra các vết cắt hoặc xuyên thủng bao gồm: kim tiêm; bơm liền kim tiêm; đầu sắc nhọn của dây truyền; kim chọc dò; kim châm cứu; lưỡi dao mổ; đinh, cưa dùng trong phẫu thuật và các vật sắc nhọn khác;</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Chất thải lây nhiễm không sắc nhọn bao gồm: Chất thải thấm, dính, chứa máu hoặc dịch sinh học của cơ thể; các chất thải phát sinh từ buồng bệnh cách ly;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 Chất thải có nguy cơ lây nhiễm cao bao gồm: Mẫu bệnh phẩm, dụng cụ đựng, dính mẫu bệnh phẩm, chất thải dính mẫu bệnh phẩm phát sinh từ các phòng xét nghiệm an toàn sinh học cấp III trở lên theo quy định tại Nghị định số 92/2010/NĐ-CP ngày 30 tháng 8 năm 2010 của Chính phủ quy định chi tiết thi hành Luật Phòng, chống bệnh truyền nhiễm về bảo đảm an toàn sinh học tại phòng xét nghiệm;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d) Chất thải giải phẫu bao gồm: Mô, bộ phận cơ thể người thải bỏ và xác động vật thí nghiệm.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Chất thải nguy hại không lây nhiễm bao gồm: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Hóa chất thải bỏ bao gồm hoặc có các thành phần nguy hại;</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lastRenderedPageBreak/>
        <w:t>b) Dược phẩm thải bỏ thuộc nhóm gây độc tế bào hoặc có cảnh báo nguy hại từ nhà sản xuất;</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 Thiết bị y tế bị vỡ, hỏng, đã qua sử dụng thải bỏ có chứa thủy ngân và các kim loại nặng;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d) Chất hàn răng amalgam thải bỏ;</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đ) Chất thải nguy hại khác theo quy định tại Thông tư số 36/2015/TT- BTNMT ngày 30 tháng 6 năm 2015 của Bộ trưởng Bộ Tài nguyên và Môi trường về quản lý chất thải nguy hại (sau đây gọi tắt là Thông tư số 36/2015/TT-BTNMT).</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3. Chất thải y tế thông thường bao gồm: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Chất thải rắn sinh hoạt phát sinh trong sinh hoạt thường ngày của con người và chất thải ngoại cảnh trong cơ sở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Chất thải rắn thông thường phát sinh từ cơ sở y tế không thuộc Danh mục chất thải y tế nguy hại hoặc thuộc Danh mục chất thải y tế nguy hại quy định tại Điểm a Khoản 4 Điều này nhưng có yếu tố nguy hại dưới ngưỡng chất thải nguy hại;</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 Sản phẩm thải lỏng không nguy hại.</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4. Danh mục và mã chất thải y tế nguy hại bao gồm: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Danh mục và mã chất thải nguy hại quy định tại Phụ lục 1 ban hành kèm theo Thông tư số 36/2015/TT-BTNMT được quy định cụ thể cho chất thải y tế nguy hại tại Phụ lục số 01 (A) ban hành kèm theo Thông tư này;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Danh mục chất thải y tế thông thường được phép thu gom phục vụ mục đích tái chế quy định tại Phụ lục số 01 (B) ban hành kèm theo Thông tư này.</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rPr>
        <w:t>Điều 5. Bao bì, dụng cụ, thiết bị lưu chứa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 xml:space="preserve">1. Bao bì (túi), dụng cụ (thùng, hộp, can), thiết bị lưu chứa chất thải y tế thực hiện theo quy định tại các Khoản 2, 3, 4, 5, 6 và Khoản 7 Điều này. Bao bì, dụng cụ, thiết bị lưu chứa chất thải phải có biểu tượng theo quy định tại Phụ lục số 02 ban hành kèm theo Thông tư này. Cơ sở y tế không phải thực hiện các quy định có liên quan về bao bì, dụng cụ, thiết bị lưu chứa quy định tại </w:t>
      </w:r>
      <w:bookmarkStart w:id="0" w:name="dc_2"/>
      <w:r w:rsidRPr="000B301F">
        <w:rPr>
          <w:rFonts w:ascii="Times New Roman" w:hAnsi="Times New Roman" w:cs="Times New Roman"/>
          <w:sz w:val="28"/>
          <w:szCs w:val="28"/>
        </w:rPr>
        <w:t>Khoản 2 Điều 7 Thông tư số 36/2015/TT-BTNMT</w:t>
      </w:r>
      <w:bookmarkEnd w:id="0"/>
      <w:r w:rsidRPr="000B301F">
        <w:rPr>
          <w:rFonts w:ascii="Times New Roman" w:hAnsi="Times New Roman" w:cs="Times New Roman"/>
          <w:sz w:val="28"/>
          <w:szCs w:val="28"/>
        </w:rPr>
        <w:t>.</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Bảo đảm lưu chứa an toàn chất thải, có khả năng chống thấm và có kích thước phù hợp với lượng chất thải lưu chứa.</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3. Màu sắc của bao bì, dụng cụ, thiết bị lưu chứa chất thải y tế quy định như sau:</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a) Màu vàng đối với bao bì, dụng cụ, thiết bị lưu chứa chất thải lây nhiễm;</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lastRenderedPageBreak/>
        <w:t>b) Màu đen đối với bao bì, dụng cụ, thiết bị lưu chứa chất thải nguy hại không lây nhiễm;</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c) Màu xanh đối với bao bì, dụng cụ, thiết bị lưu chứa chất thải y tế thông thường;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highlight w:val="yellow"/>
        </w:rPr>
        <w:t>d) Màu trắng đối với bao bì, dụng cụ, thiết bị lưu chứa chất thải tái chế.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4. Bao bì, dụng cụ đựng chất thải y tế sử dụng phương pháp đốt không làm bằng nhựa PVC.</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5. Thùng, hộp đựng chất thải có nắp đóng, mở thuận tiện trong quá trình sử dụng.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6. Ngoài các quy định tại Khoản 1, 2, 3, 4 và Khoản 5 Điều này, thùng, hộp đựng chất thải sắc nhọn phải có thành, đáy cứng không bị xuyên thủng.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7. Thùng, hộp đựng chất thải có thể tái sử dụng theo đúng mục đích lưu chứa sau khi đã được làm sạch và để khô.</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rPr>
        <w:t>Điều 6. Phân loại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1. Nguyên tắc phân loại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Chất thải y tế nguy hại và chất thải y tế thông thường phải phân loại để quản lý ngay tại nơi phát sinh và tại thời điểm phát sinh;</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Từng loại chất thải y tế phải phân loại riêng vào trong bao bì, dụng cụ, thiết bị lưu chứa chất thải theo quy định tại Điều 5 Thông tư này. Trường hợp các chất thải y tế nguy hại không có khả năng phản ứng, tương tác với nhau và áp dụng cùng một phương pháp xử lý có thể được phân loại chung vào cùng một bao bì, dụng cụ, thiết bị lưu chứa;</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 Khi chất thải lây nhiễm để lẫn với chất thải khác hoặc ngược lại thì hỗn hợp chất thải đó phải thu gom, lưu giữ và xử lý như chất thải lây nhiễm.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Vị trí đặt bao bì, dụng cụ phân loại chất thải:</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Mỗi khoa, phòng, bộ phận phải bố trí vị trí để đặt các bao bì, dụng cụ phân loại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Vị trí đặt bao bì, dụng cụ phân loại chất thải y tế phải có hướng dẫn cách phân loại và thu gom chất thải.</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3. Phân loại chất thải y tế:</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a) Chất thải lây nhiễm sắc nhọn: Đựng trong thùng hoặc hộp có màu vàng;</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b) Chất thải lây nhiễm không sắc nhọn: Đựng trong túi hoặc trong thùng có lót túi và có màu vàng;</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c) Chất thải có nguy cơ lây nhiễm cao: Đựng trong túi hoặc trong thùng có lót túi và có màu vàng;</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lastRenderedPageBreak/>
        <w:t>d) Chất thải giải phẫu: Đựng trong 2 lần túi hoặc trong thùng có lót túi và có màu vàng;</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đ) Chất thải nguy hại không lây nhiễm dạng rắn: Đựng trong túi hoặc trong thùng có lót túi và có màu đen;</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e) Chất thải nguy hại không lây nhiễm dạng lỏng: Đựng trong các dụng cụ có nắp đậy kín;</w:t>
      </w:r>
    </w:p>
    <w:p w:rsidR="008722B0" w:rsidRPr="000B301F" w:rsidRDefault="008722B0" w:rsidP="008722B0">
      <w:pPr>
        <w:spacing w:after="0"/>
        <w:ind w:firstLine="720"/>
        <w:jc w:val="both"/>
        <w:rPr>
          <w:rFonts w:ascii="Times New Roman" w:hAnsi="Times New Roman" w:cs="Times New Roman"/>
          <w:sz w:val="28"/>
          <w:szCs w:val="28"/>
          <w:highlight w:val="yellow"/>
        </w:rPr>
      </w:pPr>
      <w:r w:rsidRPr="000B301F">
        <w:rPr>
          <w:rFonts w:ascii="Times New Roman" w:hAnsi="Times New Roman" w:cs="Times New Roman"/>
          <w:sz w:val="28"/>
          <w:szCs w:val="28"/>
          <w:highlight w:val="yellow"/>
        </w:rPr>
        <w:t>g) Chất thải y tế thông thường không phục vụ mục đích tái chế: Đựng trong túi hoặc trong thùng có lót túi và có màu xanh;</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highlight w:val="yellow"/>
        </w:rPr>
        <w:t>h) Chất thải y tế thông thường phục vụ mục đích tái chế: Đựng trong túi hoặc trong thùng có lót túi và có màu trắng.</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rPr>
        <w:t>Điều 7. Thu gom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1. Thu gom chất thải lây nhiễm: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Chất thải lây nhiễm phải thu gom riêng từ nơi phát sinh về khu vực lưu giữ chất thải trong khuôn viên cơ sở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Trong quá trình thu gom, túi đựng chất thải phải buộc kín, thùng đựng chất thải phải có nắp đậy kín, bảo đảm không bị rơi, rò rỉ chất thải trong quá trình thu gom;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 Cơ sở y tế quy định tuyến đường và thời điểm thu gom chất thải lây nhiễm phù hợp để hạn chế ảnh hưởng đến khu vực chăm sóc người bệnh và khu vực khác trong cơ sở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d) Chất thải có nguy cơ lây nhiễm cao phải xử lý sơ bộ trước khi thu gom về khu lưu giữ, xử lý chất thải trong khuôn viên cơ sở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đ) Tần suất thu gom chất thải lây nhiễm từ nơi phát sinh về khu lưu giữ chất thải trong khuôn viên cơ sở y tế ít nhất 01 (một) lần/ngày;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e) Đối với các cơ sở y tế có lượng chất thải lây nhiễm phát sinh dưới 05 kg/ngày, tần suất thu gom chất thải lây nhiễm sắc nhọn từ nơi phát sinh về khu lưu giữ tạm thời trong khuôn viên cơ sở y tế hoặc đưa đi xử lý, tiêu hủy tối thiểu là 01 (một) lần/tháng.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Thu gom chất thải nguy hại không lây nhiễm: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Chất thải nguy hại không lây nhiễm được thu gom, lưu giữ riêng tại khu lưu giữ chất thải trong khuôn viên cơ sở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Thu gom chất hàn răng amalgam thải và thiết bị y tế bị vỡ, hỏng, đã qua sử dụng có chứa thủy ngân: Chất thải có chứa thủy ngân được thu gom và lưu giữ riêng trong các hộp bằng nhựa hoặc các vật liệu phù hợp và bảo đảm không bị rò rỉ hay phát tán hơi thủy ngân ra môi trường.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lastRenderedPageBreak/>
        <w:t>3. Thu gom chất thải y tế thông thường: Chất thải y tế thông thường phục vụ mục đích tái chế và chất thải y tế thông thường không phục vụ mục đích tái chế được thu gom riêng.</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rPr>
        <w:t>Điều 8. Lưu giữ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1. Cơ sở y tế bố trí khu vực lưu giữ chất thải y tế trong khuôn viên cơ sở y tế đáp ứng các yêu cầu sau:</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Cơ sở y tế thực hiện xử lý chất thải y tế nguy hại cho cụm cơ sở y tế và bệnh viện phải có khu vực lưu giữ chất thải y tế nguy hại đáp ứng các yêu cầu kỹ thuật theo quy định tại Phụ lục số 03 (A) ban hành kèm theo Thông tư này;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Cơ sở y tế không thuộc đối tượng quy định tại Điểm a Khoản này phải có khu vực lưu giữ chất thải y tế nguy hại đáp ứng các yêu cầu kỹ thuật theo quy định tại Phụ lục số 03 (B) ban hành kèm theo Thông tư này.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Dụng cụ, thiết bị lưu chứa chất thải y tế nguy hại tại khu lưu giữ chất thải trong cơ sở y tế thực hiện thống nhất theo quy định của Thông tư này và phải đáp ứng các yêu cầu sau đây: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Có thành cứng, không bị bục vỡ, rò rỉ dịch thải trong quá trình lưu giữ chất thải;</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Có biểu tượng loại chất thải lưu giữ theo quy định tại Phụ lục số 02 ban hành kèm theo Thông tư này;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 Dụng cụ, thiết bị lưu chứa chất thải lây nhiễm phải có nắp đậy kín và chống được sự xâm nhập của các loài động vật;</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d) Dụng cụ, thiết bị lưu chứa hóa chất thải phải được làm bằng vật liệu không có phản ứng với chất thải lưu chứa và có khả năng chống được sự ăn mòn nếu lưu chứa chất thải có tính ăn mòn. Trường hợp lưu chứa hóa chất thải ở dạng lỏng phải có nắp đậy kín để chống bay hơi và tràn đổ chất thải.</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3. Chất thải y tế nguy hại và chất thải y tế thông thường phải lưu giữ riêng tại khu vực lưu giữ chất thải trong khuôn viên cơ sở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4. Chất thải lây nhiễm và chất thải nguy hại không lây nhiễm phải lưu giữ riêng trừ trường hợp các loại chất thải này áp dụng cùng một phương pháp xử lý.</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5. Chất thải y tế thông thường phục vụ mục đích tái chế và chất thải y tế thông thường không phục vụ mục đích tái chế được lưu giữ riêng.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6. Thời gian lưu giữ chất thải lây nhiễm: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 xml:space="preserve">a) Đối với chất thải lây nhiễm phát sinh tại cơ sở y tế, thời gian lưu giữ chất thải lây nhiễm tại cơ sở y tế không quá 02 ngày trong điều kiện bình thường. Trường hợp lưu giữ chất thải lây nhiễm trong thiết bị bảo quản lạnh dưới 8°C, thời </w:t>
      </w:r>
      <w:r w:rsidRPr="000B301F">
        <w:rPr>
          <w:rFonts w:ascii="Times New Roman" w:hAnsi="Times New Roman" w:cs="Times New Roman"/>
          <w:sz w:val="28"/>
          <w:szCs w:val="28"/>
        </w:rPr>
        <w:lastRenderedPageBreak/>
        <w:t>gian lưu giữ tối đa là 07 ngày. Đối với cơ sở y tế có lượng chất thải lây nhiễm phát sinh dưới 05 kg/ngày, thời gian lưu giữ không quá 03 ngày trong điều kiện bình thường và phải được lưu giữ trong các bao bì được buộc kín hoặc thiết bị lưu chứa được đậy nắp kín;</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b) Đối với chất thải lây nhiễm được vận chuyển từ cơ sở y tế khác về để xử lý theo mô hình cụm hoặc mô hình tập trung, phải ưu tiên xử lý trong ngày. Trường hợp chưa xử lý ngay trong ngày, phải lưu giữ ở nhiệt độ dưới 20°C và thời gian lưu giữ tối đa không quá 02 ngày.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 xml:space="preserve">7. Cơ sở y tế thực hiện các quy định có liên quan đến lưu giữ, khu vực lưu giữ chất thải y tế nguy hại theo quy định tại Thông tư này và không phải thực hiện các quy định tại </w:t>
      </w:r>
      <w:bookmarkStart w:id="1" w:name="dc_3"/>
      <w:r w:rsidRPr="000B301F">
        <w:rPr>
          <w:rFonts w:ascii="Times New Roman" w:hAnsi="Times New Roman" w:cs="Times New Roman"/>
          <w:sz w:val="28"/>
          <w:szCs w:val="28"/>
        </w:rPr>
        <w:t>Khoản 2 Điều 7 Thông tư số 36/2015/TT-BTNMT</w:t>
      </w:r>
      <w:bookmarkEnd w:id="1"/>
      <w:r w:rsidRPr="000B301F">
        <w:rPr>
          <w:rFonts w:ascii="Times New Roman" w:hAnsi="Times New Roman" w:cs="Times New Roman"/>
          <w:sz w:val="28"/>
          <w:szCs w:val="28"/>
        </w:rPr>
        <w:t>.</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rPr>
        <w:t>Điều 9. Giảm thiểu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Cơ sở y tế phải thực hiện các biện pháp giảm thiểu phát sinh chất thải y tế theo thứ tự ưu tiên sau:</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1. Lắp đặt, sử dụng các thiết bị, dụng cụ, thuốc, hóa chất và các nguyên vật liệu phù hợp, bảo đảm hạn chế phát sinh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Đổi mới thiết bị, quy trình trong hoạt động y tế nhằm giảm thiểu phát sinh chất thải y tế.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3. Quản lý và sử dụng vật tư hợp lý và hiệu quả.</w:t>
      </w:r>
    </w:p>
    <w:p w:rsidR="008722B0" w:rsidRPr="000B301F" w:rsidRDefault="008722B0" w:rsidP="008722B0">
      <w:pPr>
        <w:spacing w:after="0"/>
        <w:ind w:firstLine="720"/>
        <w:jc w:val="both"/>
        <w:rPr>
          <w:rFonts w:ascii="Times New Roman" w:hAnsi="Times New Roman" w:cs="Times New Roman"/>
          <w:b/>
          <w:sz w:val="28"/>
          <w:szCs w:val="28"/>
        </w:rPr>
      </w:pPr>
      <w:r w:rsidRPr="000B301F">
        <w:rPr>
          <w:rFonts w:ascii="Times New Roman" w:hAnsi="Times New Roman" w:cs="Times New Roman"/>
          <w:b/>
          <w:sz w:val="28"/>
          <w:szCs w:val="28"/>
        </w:rPr>
        <w:t>Điều 10. Quản lý chất thải y tế thông thường phục vụ mục đích tái chế</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1. Chỉ được phép tái chế chất thải y tế thông thường và chất thải quy định tại Khoản 3 Điều này.</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2. Không được sử dụng vật liệu tái chế từ chất thải y tế để sản xuất các đồ dùng, bao gói sử dụng trong lĩnh vực thực phẩm.</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3. Chất thải lây nhiễm sau khi xử lý đạt quy chuẩn kỹ thuật quốc gia về môi trường được quản lý như chất thải y tế thông thường.</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4. Ngoài các quy định tại Khoản 1, Khoản 2 Điều này, khi chuyển giao chất thải quy định tại Khoản 3 Điều này để phục vụ mục đích tái chế, cơ sở y tế phải thực hiện các quy định sau:</w:t>
      </w:r>
    </w:p>
    <w:p w:rsidR="008722B0" w:rsidRPr="000B301F" w:rsidRDefault="008722B0" w:rsidP="008722B0">
      <w:pPr>
        <w:spacing w:after="0"/>
        <w:ind w:firstLine="720"/>
        <w:jc w:val="both"/>
        <w:rPr>
          <w:rFonts w:ascii="Times New Roman" w:hAnsi="Times New Roman" w:cs="Times New Roman"/>
          <w:sz w:val="28"/>
          <w:szCs w:val="28"/>
        </w:rPr>
      </w:pPr>
      <w:r w:rsidRPr="000B301F">
        <w:rPr>
          <w:rFonts w:ascii="Times New Roman" w:hAnsi="Times New Roman" w:cs="Times New Roman"/>
          <w:sz w:val="28"/>
          <w:szCs w:val="28"/>
        </w:rPr>
        <w:t>a) Bao bì lưu chứa chất thải phải được buộc kín và có biểu tượng chất thải tái chế theo quy định tại Phụ lục số 02 ban hành kèm theo Thông tư này;</w:t>
      </w:r>
    </w:p>
    <w:p w:rsidR="007D3062" w:rsidRDefault="008722B0" w:rsidP="008722B0">
      <w:r w:rsidRPr="000B301F">
        <w:rPr>
          <w:rFonts w:ascii="Times New Roman" w:hAnsi="Times New Roman" w:cs="Times New Roman"/>
          <w:sz w:val="28"/>
          <w:szCs w:val="28"/>
        </w:rPr>
        <w:t>b) Ghi đầy đủ thông tin vào Sổ bàn giao chất thải phục vụ mục đích tái chế theo mẫu quy định tại Phụ lục số 04 ban hành kèm theo Thông tư này</w:t>
      </w:r>
    </w:p>
    <w:sectPr w:rsidR="007D3062" w:rsidSect="007D30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8722B0"/>
    <w:rsid w:val="007D3062"/>
    <w:rsid w:val="00872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2019-09-25T09:22:00Z</dcterms:created>
  <dcterms:modified xsi:type="dcterms:W3CDTF">2019-09-25T09:24:00Z</dcterms:modified>
</cp:coreProperties>
</file>