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Description w:val=""/>
      </w:tblPr>
      <w:tblGrid>
        <w:gridCol w:w="3441"/>
        <w:gridCol w:w="272"/>
        <w:gridCol w:w="5343"/>
      </w:tblGrid>
      <w:tr w:rsidR="0013710C" w:rsidRPr="0013710C" w:rsidTr="0013710C">
        <w:tc>
          <w:tcPr>
            <w:tcW w:w="1900" w:type="pct"/>
            <w:tcBorders>
              <w:top w:val="nil"/>
              <w:left w:val="nil"/>
              <w:bottom w:val="nil"/>
              <w:right w:val="nil"/>
            </w:tcBorders>
            <w:shd w:val="clear" w:color="auto" w:fill="auto"/>
            <w:tcMar>
              <w:top w:w="15" w:type="dxa"/>
              <w:left w:w="15" w:type="dxa"/>
              <w:bottom w:w="15" w:type="dxa"/>
              <w:right w:w="15" w:type="dxa"/>
            </w:tcMar>
            <w:hideMark/>
          </w:tcPr>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BỘ NỘI VỤ</w:t>
            </w:r>
          </w:p>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w:t>
            </w:r>
          </w:p>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Số: 05/2005/TT-BNV</w:t>
            </w:r>
          </w:p>
        </w:tc>
        <w:tc>
          <w:tcPr>
            <w:tcW w:w="45" w:type="dxa"/>
            <w:tcBorders>
              <w:top w:val="nil"/>
              <w:left w:val="nil"/>
              <w:bottom w:val="nil"/>
              <w:right w:val="nil"/>
            </w:tcBorders>
            <w:shd w:val="clear" w:color="auto" w:fill="auto"/>
            <w:tcMar>
              <w:top w:w="15" w:type="dxa"/>
              <w:left w:w="15" w:type="dxa"/>
              <w:bottom w:w="15" w:type="dxa"/>
              <w:right w:w="15" w:type="dxa"/>
            </w:tcMar>
            <w:vAlign w:val="center"/>
            <w:hideMark/>
          </w:tcPr>
          <w:p w:rsidR="0013710C" w:rsidRPr="0013710C" w:rsidRDefault="0013710C" w:rsidP="0013710C">
            <w:pPr>
              <w:spacing w:after="0"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w:t>
            </w:r>
          </w:p>
        </w:tc>
        <w:tc>
          <w:tcPr>
            <w:tcW w:w="2950" w:type="pct"/>
            <w:tcBorders>
              <w:top w:val="nil"/>
              <w:left w:val="nil"/>
              <w:bottom w:val="nil"/>
              <w:right w:val="nil"/>
            </w:tcBorders>
            <w:shd w:val="clear" w:color="auto" w:fill="auto"/>
            <w:tcMar>
              <w:top w:w="15" w:type="dxa"/>
              <w:left w:w="15" w:type="dxa"/>
              <w:bottom w:w="15" w:type="dxa"/>
              <w:right w:w="15" w:type="dxa"/>
            </w:tcMar>
            <w:hideMark/>
          </w:tcPr>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CỘNG HOÀ XÃ HỘI CHỦ NGHĨA VIỆT NAM</w:t>
            </w:r>
          </w:p>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Độc lập - Tự do - Hạnh phúc</w:t>
            </w:r>
          </w:p>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w:t>
            </w:r>
          </w:p>
          <w:p w:rsidR="0013710C" w:rsidRPr="0013710C" w:rsidRDefault="0013710C" w:rsidP="0013710C">
            <w:pPr>
              <w:spacing w:after="0" w:line="240" w:lineRule="auto"/>
              <w:jc w:val="right"/>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i/>
                <w:iCs/>
                <w:szCs w:val="28"/>
                <w:bdr w:val="none" w:sz="0" w:space="0" w:color="auto" w:frame="1"/>
                <w:lang w:eastAsia="vi-VN"/>
              </w:rPr>
              <w:t>Hà Nội , Ngày 05 tháng 01 năm 2005</w:t>
            </w:r>
          </w:p>
        </w:tc>
      </w:tr>
    </w:tbl>
    <w:p w:rsidR="0013710C" w:rsidRPr="0013710C" w:rsidRDefault="0013710C" w:rsidP="0013710C">
      <w:pPr>
        <w:shd w:val="clear" w:color="auto" w:fill="FFFFFF"/>
        <w:spacing w:after="0" w:line="240" w:lineRule="auto"/>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 </w:t>
      </w:r>
    </w:p>
    <w:p w:rsidR="0013710C" w:rsidRPr="0013710C" w:rsidRDefault="0013710C" w:rsidP="0013710C">
      <w:pPr>
        <w:shd w:val="clear" w:color="auto" w:fill="FFFFFF"/>
        <w:spacing w:after="0" w:line="240" w:lineRule="auto"/>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THÔNG TƯ</w:t>
      </w:r>
    </w:p>
    <w:p w:rsidR="0013710C" w:rsidRPr="0013710C" w:rsidRDefault="0013710C" w:rsidP="0013710C">
      <w:pPr>
        <w:shd w:val="clear" w:color="auto" w:fill="FFFFFF"/>
        <w:spacing w:after="120" w:line="240" w:lineRule="auto"/>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Hướng dẫn thực hiện chế độ phụ cấp trách nhiệm công việc</w:t>
      </w:r>
    </w:p>
    <w:p w:rsidR="0013710C" w:rsidRPr="0013710C" w:rsidRDefault="0013710C" w:rsidP="0013710C">
      <w:pPr>
        <w:shd w:val="clear" w:color="auto" w:fill="FFFFFF"/>
        <w:spacing w:after="120" w:line="240" w:lineRule="auto"/>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đối với cán bộ, công chức, viên chức</w:t>
      </w:r>
    </w:p>
    <w:p w:rsidR="0013710C" w:rsidRPr="0013710C" w:rsidRDefault="0013710C" w:rsidP="0013710C">
      <w:pPr>
        <w:shd w:val="clear" w:color="auto" w:fill="FFFFFF"/>
        <w:spacing w:after="0" w:line="240" w:lineRule="auto"/>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 </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i/>
          <w:iCs/>
          <w:color w:val="333333"/>
          <w:szCs w:val="28"/>
          <w:bdr w:val="none" w:sz="0" w:space="0" w:color="auto" w:frame="1"/>
          <w:lang w:eastAsia="vi-VN"/>
        </w:rPr>
        <w:t>Thi hành Nghị định số 204/2004/NĐ-CP ngày 14 tháng 12 năm 2004 của Chính phủ về chế độ tiền lương đối với cán bộ, công chức, viên chức và lực lượng vũ trang; sau khi trao đổi ý kiến với Bộ Tài chính và các Bộ, ngành liên quan, Bộ Nội vụ hướng dẫn thực hiện chế độ phụ cấp trách nhiệm công việc đối với cán bộ, công chức, viên chức như sau:</w:t>
      </w:r>
    </w:p>
    <w:p w:rsidR="0013710C" w:rsidRPr="0013710C" w:rsidRDefault="0013710C" w:rsidP="0013710C">
      <w:pPr>
        <w:shd w:val="clear" w:color="auto" w:fill="FFFFFF"/>
        <w:spacing w:after="0" w:line="360" w:lineRule="atLeast"/>
        <w:ind w:firstLine="720"/>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I. PHẠM VI ÁP DỤNG:</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Phụ cấp trách nhiệm công việc áp dụng đối với cán bộ, công chức (kể cả công chức dự bị), viên chức, những người đang trong thời gian tập sự, thử việc thuộc biên chế trả lương của các cơ quan nhà nước và các đơn vị sự nghiệp của Nhà nước, do tính chất, đặc điểm của nghề hoặc công việc đòi hỏi trách nhiệm cao hoặc đảm nhiệm công tác quản lý nhưng không thuộc chức danh lãnh đạo do bầu cử và do bổ nhiệm (không thuộc đối tượng hưởng phụ cấp chức vụ lãnh đạo). </w:t>
      </w:r>
    </w:p>
    <w:p w:rsidR="0013710C" w:rsidRPr="0013710C" w:rsidRDefault="0013710C" w:rsidP="0013710C">
      <w:pPr>
        <w:shd w:val="clear" w:color="auto" w:fill="FFFFFF"/>
        <w:spacing w:after="0" w:line="360" w:lineRule="atLeast"/>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II. MỨC PHỤ CẤP VÀ ĐỐI TƯỢNG ÁP DỤNG: </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1. Mức phụ cấp</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Phụ cấp trách nhiệm công việc gồm 4 mức: 0,5; 0,3; 0,2 và 0,1 so với mức lương tối thiểu chung. Theo mức lương tối thiểu chung 290.000 đồng/tháng thì các mức tiền phụ cấp trách nhiệm công việc thực hiện từ ngày 01 tháng 10 năm 2004 như sau:</w:t>
      </w:r>
    </w:p>
    <w:tbl>
      <w:tblPr>
        <w:tblW w:w="4500" w:type="pct"/>
        <w:jc w:val="center"/>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Description w:val=""/>
      </w:tblPr>
      <w:tblGrid>
        <w:gridCol w:w="1080"/>
        <w:gridCol w:w="1081"/>
        <w:gridCol w:w="6151"/>
      </w:tblGrid>
      <w:tr w:rsidR="0013710C" w:rsidRPr="0013710C" w:rsidTr="0013710C">
        <w:trPr>
          <w:jc w:val="center"/>
        </w:trPr>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3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t>Mức</w:t>
            </w:r>
          </w:p>
        </w:tc>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hanging="16"/>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t>Hệ số</w:t>
            </w:r>
          </w:p>
        </w:tc>
        <w:tc>
          <w:tcPr>
            <w:tcW w:w="370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t>Mức tiền phụ cấp thực hiện 01/10/2004</w:t>
            </w:r>
          </w:p>
        </w:tc>
      </w:tr>
      <w:tr w:rsidR="0013710C" w:rsidRPr="0013710C" w:rsidTr="0013710C">
        <w:trPr>
          <w:jc w:val="center"/>
        </w:trPr>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3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1</w:t>
            </w:r>
          </w:p>
        </w:tc>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hanging="16"/>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0,5</w:t>
            </w:r>
          </w:p>
        </w:tc>
        <w:tc>
          <w:tcPr>
            <w:tcW w:w="370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145.000 đồng</w:t>
            </w:r>
          </w:p>
        </w:tc>
      </w:tr>
      <w:tr w:rsidR="0013710C" w:rsidRPr="0013710C" w:rsidTr="0013710C">
        <w:trPr>
          <w:jc w:val="center"/>
        </w:trPr>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3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2</w:t>
            </w:r>
          </w:p>
        </w:tc>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hanging="16"/>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0,3</w:t>
            </w:r>
          </w:p>
        </w:tc>
        <w:tc>
          <w:tcPr>
            <w:tcW w:w="370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87.000 đồng</w:t>
            </w:r>
          </w:p>
        </w:tc>
      </w:tr>
      <w:tr w:rsidR="0013710C" w:rsidRPr="0013710C" w:rsidTr="0013710C">
        <w:trPr>
          <w:jc w:val="center"/>
        </w:trPr>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3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3</w:t>
            </w:r>
          </w:p>
        </w:tc>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hanging="16"/>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0,2</w:t>
            </w:r>
          </w:p>
        </w:tc>
        <w:tc>
          <w:tcPr>
            <w:tcW w:w="370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58.000 đồng</w:t>
            </w:r>
          </w:p>
        </w:tc>
      </w:tr>
      <w:tr w:rsidR="0013710C" w:rsidRPr="0013710C" w:rsidTr="0013710C">
        <w:trPr>
          <w:jc w:val="center"/>
        </w:trPr>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3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4</w:t>
            </w:r>
          </w:p>
        </w:tc>
        <w:tc>
          <w:tcPr>
            <w:tcW w:w="65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hanging="16"/>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0,1</w:t>
            </w:r>
          </w:p>
        </w:tc>
        <w:tc>
          <w:tcPr>
            <w:tcW w:w="3700" w:type="pct"/>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13710C" w:rsidRPr="0013710C" w:rsidRDefault="0013710C" w:rsidP="0013710C">
            <w:pPr>
              <w:spacing w:after="0" w:line="360" w:lineRule="atLeast"/>
              <w:ind w:firstLine="5"/>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29.000 đồng</w:t>
            </w:r>
          </w:p>
        </w:tc>
      </w:tr>
    </w:tbl>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 </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lastRenderedPageBreak/>
        <w:t> 2. Đối tượng áp dụng các mức phụ cấp trách nhiệm công việc:</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i/>
          <w:iCs/>
          <w:color w:val="333333"/>
          <w:szCs w:val="28"/>
          <w:bdr w:val="none" w:sz="0" w:space="0" w:color="auto" w:frame="1"/>
          <w:lang w:eastAsia="vi-VN"/>
        </w:rPr>
        <w:t>a) Mức 1, hệ số 0,5; áp dụng đối với: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công chức, viên chức thuộc biên chế trả lương của các phòng Bảo vệ sức khoẻ Trung ương 2, Bảo vệ sức khoẻ Trung ương 3, Bảo vệ sức khoẻ Trung ương 5 thuộc Bệnh viện Hữu nghị và phòng Bảo vệ sức khoẻ cán bộ Trung ương phía Nam thuộc Bệnh viện Thống nhất;</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Lái xe phục vụ các chức danh từ Phó Thủ tướng Chính phủ và tương đương trở lên.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i/>
          <w:iCs/>
          <w:color w:val="333333"/>
          <w:szCs w:val="28"/>
          <w:bdr w:val="none" w:sz="0" w:space="0" w:color="auto" w:frame="1"/>
          <w:lang w:eastAsia="vi-VN"/>
        </w:rPr>
        <w:t>b) Mức 2, hệ số 0,3 áp dụng đối với: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Trạm trưởng, Trại trưởng các trạm, trại nghiên cứu ứng dụng, thực nghiệm khoa học kỹ thuật của các ngành nông nghiệp, lâm nghiệp, thủy sản;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Trạm trưởng, Trại trưởng các trạm, trại nuôi trồng cây con, thuốc quý hiếm để nghiên cứu trong phòng thí nghiệm y, dược khoa và làm thuốc;</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viên chức trực tiếp vận hành, bảo dưỡng máy gia tốc điện tử MT-17, máy phát nơtron NA-3C, người xử lý mẫu và nguồn phóng xạ kín, hở, an toàn phóng xạ;</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công chức, viên chức thuộc biên chế trả lương của Ban Bảo vệ, chăm sóc sức khoẻ các tỉnh, thành phố trực thuộc Trung ương;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viên chức thuộc biên chế trả lương của các khoa, bộ phận hồi sức cấp cứu và trực tiếp phục vụ cấp cứu bệnh nhân tại trạm cấp cứu 05;</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Giáo viên và cán bộ quảnlý giáo dục thuộc biên chế trả lương của các trường chuyên biệt;</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Giáo viên được cử làm Tổng phụ trách (chuyên trách và bán chuyên trách) Đội Thiếu niên tiền phong Hồ Chí Minh ở trường phổ thông hạng 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Huấn luyện viên trưởng đội tuyển thể dục, thể thao Quốc gia;</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Lái xe phục vụ chức danh Bộ trưởng và tương đương;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Trưởng kho vật liệu nổ, nhân viên cung ứng vật liệu nổ.</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i/>
          <w:iCs/>
          <w:color w:val="333333"/>
          <w:szCs w:val="28"/>
          <w:bdr w:val="none" w:sz="0" w:space="0" w:color="auto" w:frame="1"/>
          <w:lang w:eastAsia="vi-VN"/>
        </w:rPr>
        <w:t>c) Mức 3, hệ số 0,2 áp dụng đối với: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Phó trạm trưởng, Phó trại trưởng các trạm, trại nghiên cứu ứng dụng, thực nghiệm khoa học kỹ thuật của các ngành nông nghiệp, lâm nghiệp, thủy sản;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Phó trạm trưởng, Phó trại trưởng các trạm, trại nuôi trồng cây con, thuốc quý hiếm để nghiên cứu trong phòng thí nghiệm y, dược khoa và làm thuốc;</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 xml:space="preserve">Cán bộ, viên chức bảo vệ, vận chuyển, làm việc với các mẫu và nguồn phóng xạ kín và hở; kiểm tra độ phóng xạ khu vực máy gia tốc điện tử MT-17, máy phát nơtron NA-3C và trung tâm đo phóng xạ; phục vụ công tác an toàn </w:t>
      </w:r>
      <w:r w:rsidRPr="0013710C">
        <w:rPr>
          <w:rFonts w:asciiTheme="majorHAnsi" w:eastAsia="Times New Roman" w:hAnsiTheme="majorHAnsi" w:cstheme="majorHAnsi"/>
          <w:color w:val="333333"/>
          <w:szCs w:val="28"/>
          <w:lang w:eastAsia="vi-VN"/>
        </w:rPr>
        <w:lastRenderedPageBreak/>
        <w:t>máy gia tốc điện tử MT-17, máy phát nơtron NA-3C, vệ sinh khu vực máy, kho nguồn và trung tâm đo phóng xạ;</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Tổ trưởng các ngành địa chất, khí tượng thuỷ văn, khảo sát, đo đạc, trồng rừng và điều tra rừng;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Trưởng kho lưu trữ tài liệu, thư viện, Trưởng kho lưu trữ bảo quản, phục chế hiện vật trong các bảo tàng hạng II trở lên, kho khu di tích Phủ Chủ tịch;</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Trưởng kho lưu trữ tài liệu thuộc C</w:t>
      </w:r>
      <w:bookmarkStart w:id="0" w:name="_GoBack"/>
      <w:bookmarkEnd w:id="0"/>
      <w:r w:rsidRPr="0013710C">
        <w:rPr>
          <w:rFonts w:asciiTheme="majorHAnsi" w:eastAsia="Times New Roman" w:hAnsiTheme="majorHAnsi" w:cstheme="majorHAnsi"/>
          <w:color w:val="333333"/>
          <w:szCs w:val="28"/>
          <w:lang w:eastAsia="vi-VN"/>
        </w:rPr>
        <w:t>ục Văn thư Lưu trữ Nhà nước;</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Trưởng kho thuộc Cục Dự trữ Quốc gia;</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Trưởng kho, Trưởng quỹ tiền, vàng bạc, đá quý Ngân hàng Nhà nước và Kho bạc Nhà nước từ Trung ương đến cấp huyện;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b/>
          <w:color w:val="333333"/>
          <w:szCs w:val="28"/>
          <w:lang w:eastAsia="vi-VN"/>
        </w:rPr>
      </w:pPr>
      <w:r w:rsidRPr="0013710C">
        <w:rPr>
          <w:rFonts w:asciiTheme="majorHAnsi" w:eastAsia="Times New Roman" w:hAnsiTheme="majorHAnsi" w:cstheme="majorHAnsi"/>
          <w:b/>
          <w:color w:val="333333"/>
          <w:szCs w:val="28"/>
          <w:lang w:eastAsia="vi-VN"/>
        </w:rPr>
        <w:t xml:space="preserve">Cán bộ, viên chức thuộc biên chế trả lương của các trại điều dưỡng thương binh nặng, </w:t>
      </w:r>
      <w:r w:rsidRPr="0013710C">
        <w:rPr>
          <w:rFonts w:asciiTheme="majorHAnsi" w:eastAsia="Times New Roman" w:hAnsiTheme="majorHAnsi" w:cstheme="majorHAnsi"/>
          <w:b/>
          <w:color w:val="FF0000"/>
          <w:sz w:val="32"/>
          <w:szCs w:val="32"/>
          <w:lang w:eastAsia="vi-VN"/>
        </w:rPr>
        <w:t>bệnh viện điều trị</w:t>
      </w:r>
      <w:r w:rsidRPr="0013710C">
        <w:rPr>
          <w:rFonts w:asciiTheme="majorHAnsi" w:eastAsia="Times New Roman" w:hAnsiTheme="majorHAnsi" w:cstheme="majorHAnsi"/>
          <w:b/>
          <w:color w:val="333333"/>
          <w:szCs w:val="28"/>
          <w:lang w:eastAsia="vi-VN"/>
        </w:rPr>
        <w:t>, trại nuôi dưỡng người tâm thần, bệnh phong;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Giáo viên được cử làm Tổng phụ trách (chuyên trách và bán chuyên trách) Đội Thiếu niên tiền phong Hồ Chí Minh ở trường phổ thông hạng II;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viên chức thuộc biên chế trả lương của Bệnh viện Hữu nghị;</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Huấn luyện viên trưởng đội tuyển thể dục, thể thao tỉnh, ngành, thành phố trực thuộc Trung ương;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Bác sĩ, kỹ thuật viên y học thể dục, thể thao ở đội tuyển Quốc gia làm công tác kiểm tra, theo dõi, chăm sóc, phục hồi sức khoẻ cho các vận động viên;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Lái xe phục vụ các chức danh Thứ trưởng, Chủ tịch Uỷ ban nhân dân tỉnh, thành phố trực thuộc Trung ương và tương đương;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Phó trưởng kho vật liệu nổ.</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i/>
          <w:iCs/>
          <w:color w:val="333333"/>
          <w:szCs w:val="28"/>
          <w:bdr w:val="none" w:sz="0" w:space="0" w:color="auto" w:frame="1"/>
          <w:lang w:eastAsia="vi-VN"/>
        </w:rPr>
        <w:t>d) Mức 4, hệ số 01 áp dụng đối với: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Phó trưởng kho lưu trữ tài liệu, thư viện, Phó trưởng kho lưu trữ bảo quản, phục chế hiện vật trong các bảo tàng hạng II trở lên, kho khu di tích Phủ Chủ tịch;</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Trưởng kho lưu trữ tài liệu, thư viện Trưởng kho lưu trữ bảo quản, phục chế và giới thiệu hiện vật trong các bảo tàng;</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Phó trưởng kho, Phó trưởng quỹ tiền, vàng bạc, đá quý Ngân hàng Nhà nước và Kho bạc Nhà nước từ Trung ương đến cấp huyện;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Giáo viên được cử làm Tổng phụ trách (chuyên trách và bán chuyên trách) Đội Thiếu niên tiền phong Hồ Chí Minh ở trường phổ thông hạng III;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viên chức y tế chuyên trách đỡ đẻ ở các trạm, bệnh viện, viện phụ sản, các khoa sản ở bệnh viện đa khoa và ở trung tâm y tế;</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Cán bộ, viên chức y tế trực tiếp làm kiểm nghiệm thuốc;</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lastRenderedPageBreak/>
        <w:t>Bác sĩ, kỹ thuật viên y học thể dục, thể thao ở đội tuyển cấp ngành, tỉnh làm công tác kiểm tra, theo dõi, chăm sóc, phục hồi sức khoẻ cho các vận động viên;</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Nhân viên bảo vệ, thủ kho vật liệu nổ;</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Thủ quỹ cơ quan, đơn vị;</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Tổ trưởng các ngành còn lại.</w:t>
      </w:r>
    </w:p>
    <w:p w:rsidR="0013710C" w:rsidRPr="0013710C" w:rsidRDefault="0013710C" w:rsidP="0013710C">
      <w:pPr>
        <w:shd w:val="clear" w:color="auto" w:fill="FFFFFF"/>
        <w:spacing w:after="0" w:line="380" w:lineRule="atLeast"/>
        <w:ind w:firstLine="720"/>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 </w:t>
      </w:r>
      <w:r w:rsidRPr="0013710C">
        <w:rPr>
          <w:rFonts w:asciiTheme="majorHAnsi" w:eastAsia="Times New Roman" w:hAnsiTheme="majorHAnsi" w:cstheme="majorHAnsi"/>
          <w:b/>
          <w:bCs/>
          <w:color w:val="333333"/>
          <w:szCs w:val="28"/>
          <w:bdr w:val="none" w:sz="0" w:space="0" w:color="auto" w:frame="1"/>
          <w:lang w:eastAsia="vi-VN"/>
        </w:rPr>
        <w:t>III. KINH PHÍ VÀ CÁCH CHI TRẢ PHỤ CẤP</w:t>
      </w:r>
      <w:r w:rsidRPr="0013710C">
        <w:rPr>
          <w:rFonts w:asciiTheme="majorHAnsi" w:eastAsia="Times New Roman" w:hAnsiTheme="majorHAnsi" w:cstheme="majorHAnsi"/>
          <w:color w:val="333333"/>
          <w:szCs w:val="28"/>
          <w:lang w:eastAsia="vi-VN"/>
        </w:rPr>
        <w:t> </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1. Nguồn kinh phí chi trả phụ cấp trách nhiệm công việc:</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Các đối tượng thuộc cơ quan, đơn vị được ngân sách nhà nước bảo đảm toàn bộ, phụ cấp trách nhiệm công việc do ngân sách nhà nước chi trả theo phân cấp ngân sách hiện hành trong dự toán ngân sách được giao hàng năm cho cơ quan, đơn vị;</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Các đối tượng thuộc cơ quan thực hiện khoán biên chế và kinh phí quản lý hành chính và các đối tượng thuộc các đơn vị sự nghiệp thực hiện tự chủ tài chính, phụ cấp trách nhiệm công việc do cơ quan, đơn vị chi trả từ nguồn kinh phí khoán và nguồn tài chính được giao tự chủ.</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2. Cách chi trả phụ cấp:</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Phụ cấp trách nhiệm công việc được chi trả cùng kỳ lương hàng tháng và không dùng để tính đóng, hưởng chế độ bảo hiểm xã hội;</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Khi không làm công việc có quy định hưởng phụ cấp trách nhiệm công việc từ một tháng trở lên thì không được hưởng phụ cấp trách nhiệm công việc.</w:t>
      </w:r>
    </w:p>
    <w:p w:rsidR="0013710C" w:rsidRPr="0013710C" w:rsidRDefault="0013710C" w:rsidP="0013710C">
      <w:pPr>
        <w:shd w:val="clear" w:color="auto" w:fill="FFFFFF"/>
        <w:spacing w:after="0" w:line="380" w:lineRule="atLeast"/>
        <w:ind w:firstLine="720"/>
        <w:jc w:val="center"/>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b/>
          <w:bCs/>
          <w:color w:val="333333"/>
          <w:szCs w:val="28"/>
          <w:bdr w:val="none" w:sz="0" w:space="0" w:color="auto" w:frame="1"/>
          <w:lang w:eastAsia="vi-VN"/>
        </w:rPr>
        <w:t>IV. HIỆU LỰC THI HÀNH</w:t>
      </w:r>
      <w:r w:rsidRPr="0013710C">
        <w:rPr>
          <w:rFonts w:asciiTheme="majorHAnsi" w:eastAsia="Times New Roman" w:hAnsiTheme="majorHAnsi" w:cstheme="majorHAnsi"/>
          <w:color w:val="333333"/>
          <w:szCs w:val="28"/>
          <w:lang w:eastAsia="vi-VN"/>
        </w:rPr>
        <w:t> </w:t>
      </w:r>
    </w:p>
    <w:p w:rsidR="0013710C" w:rsidRPr="0013710C" w:rsidRDefault="0013710C" w:rsidP="0013710C">
      <w:pPr>
        <w:shd w:val="clear" w:color="auto" w:fill="FFFFFF"/>
        <w:spacing w:after="0" w:line="38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1. Thông tư này có hiệu lực thi hành sau 15 ngày, kể từ ngày đăng Công báo.</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Bãi bỏ các văn bản hướng dẫn thực hiện Nghị định số 25/CP ngày 23 tháng 05 năm 1993 của Chính phủ về chế độ phụ cấp trách nhiệm đối với cán bộ, công chức, viên chức làm việc trong các cơ quan nhà nước và các đơn vị sự nghiệp của Nhà nước.</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2. Chế độ phụ cấp trách nhiệm công việc quy định tại Thông tư này được tính hưởng kể từ ngày 01 tháng 10 năm 2004.</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Căn cứ hướng dẫn tại Thông tư này, Thủ trưởng cơ quan, đơn vị trực tiếp sử dụng và quản lý cán bộ, công chức, viên chức xác định đối tượng và mức phụ cấp trách nhiệm công việc được hưởng đối với cán bộ, công chức, viên chức thuộc phạm vi quản lý.</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 xml:space="preserve">Cán bộ, công chức, viên chức làm một số nghề hoặc công việc đặc thù trong các cơ quan nhà nước và các đơn vị sự nghiệp của Nhà nước đã được cơ quan có thẩm quyền thoả thuận áp dụng phụ cấp trách nhiệm đang còn hiệu lực, </w:t>
      </w:r>
      <w:r w:rsidRPr="0013710C">
        <w:rPr>
          <w:rFonts w:asciiTheme="majorHAnsi" w:eastAsia="Times New Roman" w:hAnsiTheme="majorHAnsi" w:cstheme="majorHAnsi"/>
          <w:color w:val="333333"/>
          <w:szCs w:val="28"/>
          <w:lang w:eastAsia="vi-VN"/>
        </w:rPr>
        <w:lastRenderedPageBreak/>
        <w:t>thì tiếp tục được hưởng cho đến khi không làm công việc có quy định hưởng phụ cấp trách nhiệm; các bộ, ngành, địa phương tổng hợp báo cáo về Bộ Nội vụ để theo dõi và quản lý.</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Việc bổ sung đối tượng hưởng phụ cấp trách nhiệm công việc hoặc điều chỉnh mức phụ cấp trách nhiệm quy định tại Thông tư này, các Bộ, ngành có văn bản đề nghị gửi về Bộ Nội vụ để trao đổi thống nhất với Bộ Tài chính xem xét, giải quyết.</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3. Người làm việc trong tổ chức cơ yếu hưởng phụ cấp trách nhiệm công việc bảo vệ cơ mật mật mã có hướng dẫn riêng.</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4. Cán bộ, công chức, viên chức làm việc trong các cơ quan, đơn vị sự nghiệp của Đảng, Mặt trận và các đoàn thể, thực hiện chế độ phụ cấp trách nhiệm công việc hướng dẫn của Ban Tổ chức Trung ương.</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Trong quá trình thực hiện nếu có vướng mắc, các Bộ, ngành, địa phương phản ánh về Bộ Nội vụ để nghiên cứu, giải quyết./.</w:t>
      </w:r>
    </w:p>
    <w:p w:rsidR="0013710C" w:rsidRPr="0013710C" w:rsidRDefault="0013710C" w:rsidP="0013710C">
      <w:pPr>
        <w:shd w:val="clear" w:color="auto" w:fill="FFFFFF"/>
        <w:spacing w:after="0" w:line="360" w:lineRule="atLeast"/>
        <w:ind w:firstLine="720"/>
        <w:jc w:val="both"/>
        <w:textAlignment w:val="baseline"/>
        <w:rPr>
          <w:rFonts w:asciiTheme="majorHAnsi" w:eastAsia="Times New Roman" w:hAnsiTheme="majorHAnsi" w:cstheme="majorHAnsi"/>
          <w:color w:val="333333"/>
          <w:szCs w:val="28"/>
          <w:lang w:eastAsia="vi-VN"/>
        </w:rPr>
      </w:pPr>
      <w:r w:rsidRPr="0013710C">
        <w:rPr>
          <w:rFonts w:asciiTheme="majorHAnsi" w:eastAsia="Times New Roman" w:hAnsiTheme="majorHAnsi" w:cstheme="majorHAnsi"/>
          <w:color w:val="333333"/>
          <w:szCs w:val="28"/>
          <w:lang w:eastAsia="vi-VN"/>
        </w:rPr>
        <w:t> </w:t>
      </w:r>
    </w:p>
    <w:tbl>
      <w:tblPr>
        <w:tblW w:w="5000" w:type="pct"/>
        <w:tblInd w:w="348" w:type="dxa"/>
        <w:tblCellMar>
          <w:left w:w="0" w:type="dxa"/>
          <w:right w:w="0" w:type="dxa"/>
        </w:tblCellMar>
        <w:tblLook w:val="04A0" w:firstRow="1" w:lastRow="0" w:firstColumn="1" w:lastColumn="0" w:noHBand="0" w:noVBand="1"/>
        <w:tblDescription w:val=""/>
      </w:tblPr>
      <w:tblGrid>
        <w:gridCol w:w="4846"/>
        <w:gridCol w:w="4396"/>
      </w:tblGrid>
      <w:tr w:rsidR="0013710C" w:rsidRPr="0013710C" w:rsidTr="0013710C">
        <w:tc>
          <w:tcPr>
            <w:tcW w:w="5160" w:type="dxa"/>
            <w:tcBorders>
              <w:top w:val="nil"/>
              <w:left w:val="nil"/>
              <w:bottom w:val="nil"/>
              <w:right w:val="nil"/>
            </w:tcBorders>
            <w:shd w:val="clear" w:color="auto" w:fill="auto"/>
            <w:tcMar>
              <w:top w:w="0" w:type="dxa"/>
              <w:left w:w="108" w:type="dxa"/>
              <w:bottom w:w="0" w:type="dxa"/>
              <w:right w:w="108" w:type="dxa"/>
            </w:tcMar>
            <w:hideMark/>
          </w:tcPr>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i/>
                <w:iCs/>
                <w:szCs w:val="28"/>
                <w:bdr w:val="none" w:sz="0" w:space="0" w:color="auto" w:frame="1"/>
                <w:lang w:eastAsia="vi-VN"/>
              </w:rPr>
              <w:t>Nơi nhận :</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Văn phòng Chủ tịch nước,</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Văn phòng Quốc hội,</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Hội đồng Dân tộc và các ủy ban của Quốc hội,</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Văn phòng Chính phủ,</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Văn phòng Trung ương và các Ban của Đảng,</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Các Bộ, cơ quan ngang Bộ, cơ quan thuộc CP,</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Tòa án nhân dân tối cao,</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Viện Kiểm sát nhân dân tối cao,</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Cơ quan Trung ương của các đoàn thể,</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Thủ tướng, các Phó Thủ tướng Chính phủ,</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xml:space="preserve">- HĐND, UBND, SNV các tỉnh, thành </w:t>
            </w:r>
            <w:r w:rsidRPr="0013710C">
              <w:rPr>
                <w:rFonts w:asciiTheme="majorHAnsi" w:eastAsia="Times New Roman" w:hAnsiTheme="majorHAnsi" w:cstheme="majorHAnsi"/>
                <w:szCs w:val="28"/>
                <w:lang w:eastAsia="vi-VN"/>
              </w:rPr>
              <w:lastRenderedPageBreak/>
              <w:t>phố</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trực thuộc Trung ương,</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Công báo,</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Kiểm toán nhà nước,</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Website Chính phủ,</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Bộ Tư pháp (Cục Kiểm tra văn bản),</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BNV: BT, các TT, các đơn vị thuộc và trực thuộc Bộ,</w:t>
            </w:r>
          </w:p>
          <w:p w:rsidR="0013710C" w:rsidRPr="0013710C" w:rsidRDefault="0013710C" w:rsidP="0013710C">
            <w:pPr>
              <w:spacing w:beforeAutospacing="1" w:after="0" w:afterAutospacing="1"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Lưu: VT, Vụ TL.</w:t>
            </w:r>
          </w:p>
          <w:p w:rsidR="0013710C" w:rsidRPr="0013710C" w:rsidRDefault="0013710C" w:rsidP="0013710C">
            <w:pPr>
              <w:spacing w:beforeAutospacing="1" w:after="0" w:afterAutospacing="1" w:line="240" w:lineRule="auto"/>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t> </w:t>
            </w:r>
          </w:p>
        </w:tc>
        <w:tc>
          <w:tcPr>
            <w:tcW w:w="4644" w:type="dxa"/>
            <w:tcBorders>
              <w:top w:val="nil"/>
              <w:left w:val="nil"/>
              <w:bottom w:val="nil"/>
              <w:right w:val="nil"/>
            </w:tcBorders>
            <w:shd w:val="clear" w:color="auto" w:fill="auto"/>
            <w:tcMar>
              <w:top w:w="0" w:type="dxa"/>
              <w:left w:w="108" w:type="dxa"/>
              <w:bottom w:w="0" w:type="dxa"/>
              <w:right w:w="108" w:type="dxa"/>
            </w:tcMar>
            <w:hideMark/>
          </w:tcPr>
          <w:p w:rsidR="0013710C" w:rsidRPr="0013710C" w:rsidRDefault="0013710C" w:rsidP="0013710C">
            <w:pPr>
              <w:spacing w:beforeAutospacing="1" w:after="0" w:afterAutospacing="1"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lastRenderedPageBreak/>
              <w:t>BỘ TRƯỞNG</w:t>
            </w:r>
          </w:p>
          <w:p w:rsidR="0013710C" w:rsidRPr="0013710C" w:rsidRDefault="0013710C" w:rsidP="0013710C">
            <w:pPr>
              <w:spacing w:after="0" w:line="240" w:lineRule="auto"/>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t> </w:t>
            </w:r>
          </w:p>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i/>
                <w:iCs/>
                <w:szCs w:val="28"/>
                <w:bdr w:val="none" w:sz="0" w:space="0" w:color="auto" w:frame="1"/>
                <w:lang w:eastAsia="vi-VN"/>
              </w:rPr>
              <w:t>(Đã ký)</w:t>
            </w:r>
            <w:r w:rsidRPr="0013710C">
              <w:rPr>
                <w:rFonts w:asciiTheme="majorHAnsi" w:eastAsia="Times New Roman" w:hAnsiTheme="majorHAnsi" w:cstheme="majorHAnsi"/>
                <w:szCs w:val="28"/>
                <w:bdr w:val="none" w:sz="0" w:space="0" w:color="auto" w:frame="1"/>
                <w:lang w:eastAsia="vi-VN"/>
              </w:rPr>
              <w:t> </w:t>
            </w:r>
            <w:r w:rsidRPr="0013710C">
              <w:rPr>
                <w:rFonts w:asciiTheme="majorHAnsi" w:eastAsia="Times New Roman" w:hAnsiTheme="majorHAnsi" w:cstheme="majorHAnsi"/>
                <w:b/>
                <w:bCs/>
                <w:szCs w:val="28"/>
                <w:bdr w:val="none" w:sz="0" w:space="0" w:color="auto" w:frame="1"/>
                <w:lang w:eastAsia="vi-VN"/>
              </w:rPr>
              <w:t> </w:t>
            </w:r>
          </w:p>
          <w:p w:rsidR="0013710C" w:rsidRPr="0013710C" w:rsidRDefault="0013710C" w:rsidP="0013710C">
            <w:pPr>
              <w:spacing w:before="120" w:after="12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szCs w:val="28"/>
                <w:lang w:eastAsia="vi-VN"/>
              </w:rPr>
              <w:t> </w:t>
            </w:r>
          </w:p>
          <w:p w:rsidR="0013710C" w:rsidRPr="0013710C" w:rsidRDefault="0013710C" w:rsidP="0013710C">
            <w:pPr>
              <w:spacing w:after="0" w:line="240" w:lineRule="auto"/>
              <w:jc w:val="center"/>
              <w:textAlignment w:val="baseline"/>
              <w:rPr>
                <w:rFonts w:asciiTheme="majorHAnsi" w:eastAsia="Times New Roman" w:hAnsiTheme="majorHAnsi" w:cstheme="majorHAnsi"/>
                <w:szCs w:val="28"/>
                <w:lang w:eastAsia="vi-VN"/>
              </w:rPr>
            </w:pPr>
            <w:r w:rsidRPr="0013710C">
              <w:rPr>
                <w:rFonts w:asciiTheme="majorHAnsi" w:eastAsia="Times New Roman" w:hAnsiTheme="majorHAnsi" w:cstheme="majorHAnsi"/>
                <w:b/>
                <w:bCs/>
                <w:szCs w:val="28"/>
                <w:bdr w:val="none" w:sz="0" w:space="0" w:color="auto" w:frame="1"/>
                <w:lang w:eastAsia="vi-VN"/>
              </w:rPr>
              <w:t>Đỗ Quang Trung</w:t>
            </w:r>
            <w:r w:rsidRPr="0013710C">
              <w:rPr>
                <w:rFonts w:asciiTheme="majorHAnsi" w:eastAsia="Times New Roman" w:hAnsiTheme="majorHAnsi" w:cstheme="majorHAnsi"/>
                <w:szCs w:val="28"/>
                <w:bdr w:val="none" w:sz="0" w:space="0" w:color="auto" w:frame="1"/>
                <w:lang w:eastAsia="vi-VN"/>
              </w:rPr>
              <w:t> </w:t>
            </w:r>
          </w:p>
        </w:tc>
      </w:tr>
    </w:tbl>
    <w:p w:rsidR="00B7710A" w:rsidRPr="0013710C" w:rsidRDefault="00B7710A">
      <w:pPr>
        <w:rPr>
          <w:rFonts w:asciiTheme="majorHAnsi" w:hAnsiTheme="majorHAnsi" w:cstheme="majorHAnsi"/>
          <w:szCs w:val="28"/>
        </w:rPr>
      </w:pPr>
    </w:p>
    <w:sectPr w:rsidR="00B7710A" w:rsidRPr="00137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C"/>
    <w:rsid w:val="0013710C"/>
    <w:rsid w:val="00B771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10C"/>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13710C"/>
    <w:rPr>
      <w:i/>
      <w:iCs/>
    </w:rPr>
  </w:style>
  <w:style w:type="character" w:styleId="Strong">
    <w:name w:val="Strong"/>
    <w:basedOn w:val="DefaultParagraphFont"/>
    <w:uiPriority w:val="22"/>
    <w:qFormat/>
    <w:rsid w:val="0013710C"/>
    <w:rPr>
      <w:b/>
      <w:bCs/>
    </w:rPr>
  </w:style>
  <w:style w:type="character" w:customStyle="1" w:styleId="apple-converted-space">
    <w:name w:val="apple-converted-space"/>
    <w:basedOn w:val="DefaultParagraphFont"/>
    <w:rsid w:val="00137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10C"/>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13710C"/>
    <w:rPr>
      <w:i/>
      <w:iCs/>
    </w:rPr>
  </w:style>
  <w:style w:type="character" w:styleId="Strong">
    <w:name w:val="Strong"/>
    <w:basedOn w:val="DefaultParagraphFont"/>
    <w:uiPriority w:val="22"/>
    <w:qFormat/>
    <w:rsid w:val="0013710C"/>
    <w:rPr>
      <w:b/>
      <w:bCs/>
    </w:rPr>
  </w:style>
  <w:style w:type="character" w:customStyle="1" w:styleId="apple-converted-space">
    <w:name w:val="apple-converted-space"/>
    <w:basedOn w:val="DefaultParagraphFont"/>
    <w:rsid w:val="0013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82123">
      <w:bodyDiv w:val="1"/>
      <w:marLeft w:val="0"/>
      <w:marRight w:val="0"/>
      <w:marTop w:val="0"/>
      <w:marBottom w:val="0"/>
      <w:divBdr>
        <w:top w:val="none" w:sz="0" w:space="0" w:color="auto"/>
        <w:left w:val="none" w:sz="0" w:space="0" w:color="auto"/>
        <w:bottom w:val="none" w:sz="0" w:space="0" w:color="auto"/>
        <w:right w:val="none" w:sz="0" w:space="0" w:color="auto"/>
      </w:divBdr>
      <w:divsChild>
        <w:div w:id="1773745982">
          <w:marLeft w:val="0"/>
          <w:marRight w:val="0"/>
          <w:marTop w:val="0"/>
          <w:marBottom w:val="0"/>
          <w:divBdr>
            <w:top w:val="none" w:sz="0" w:space="0" w:color="auto"/>
            <w:left w:val="none" w:sz="0" w:space="0" w:color="auto"/>
            <w:bottom w:val="none" w:sz="0" w:space="0" w:color="auto"/>
            <w:right w:val="none" w:sz="0" w:space="0" w:color="auto"/>
          </w:divBdr>
        </w:div>
        <w:div w:id="1271354182">
          <w:marLeft w:val="0"/>
          <w:marRight w:val="0"/>
          <w:marTop w:val="120"/>
          <w:marBottom w:val="120"/>
          <w:divBdr>
            <w:top w:val="none" w:sz="0" w:space="0" w:color="auto"/>
            <w:left w:val="none" w:sz="0" w:space="0" w:color="auto"/>
            <w:bottom w:val="none" w:sz="0" w:space="0" w:color="auto"/>
            <w:right w:val="none" w:sz="0" w:space="0" w:color="auto"/>
          </w:divBdr>
        </w:div>
        <w:div w:id="1162310804">
          <w:marLeft w:val="0"/>
          <w:marRight w:val="0"/>
          <w:marTop w:val="120"/>
          <w:marBottom w:val="120"/>
          <w:divBdr>
            <w:top w:val="none" w:sz="0" w:space="0" w:color="auto"/>
            <w:left w:val="none" w:sz="0" w:space="0" w:color="auto"/>
            <w:bottom w:val="none" w:sz="0" w:space="0" w:color="auto"/>
            <w:right w:val="none" w:sz="0" w:space="0" w:color="auto"/>
          </w:divBdr>
        </w:div>
        <w:div w:id="1572304379">
          <w:marLeft w:val="0"/>
          <w:marRight w:val="0"/>
          <w:marTop w:val="0"/>
          <w:marBottom w:val="0"/>
          <w:divBdr>
            <w:top w:val="none" w:sz="0" w:space="0" w:color="auto"/>
            <w:left w:val="none" w:sz="0" w:space="0" w:color="auto"/>
            <w:bottom w:val="none" w:sz="0" w:space="0" w:color="auto"/>
            <w:right w:val="none" w:sz="0" w:space="0" w:color="auto"/>
          </w:divBdr>
        </w:div>
        <w:div w:id="1446071151">
          <w:marLeft w:val="0"/>
          <w:marRight w:val="0"/>
          <w:marTop w:val="0"/>
          <w:marBottom w:val="0"/>
          <w:divBdr>
            <w:top w:val="none" w:sz="0" w:space="0" w:color="auto"/>
            <w:left w:val="none" w:sz="0" w:space="0" w:color="auto"/>
            <w:bottom w:val="none" w:sz="0" w:space="0" w:color="auto"/>
            <w:right w:val="none" w:sz="0" w:space="0" w:color="auto"/>
          </w:divBdr>
        </w:div>
        <w:div w:id="1918786320">
          <w:marLeft w:val="0"/>
          <w:marRight w:val="0"/>
          <w:marTop w:val="0"/>
          <w:marBottom w:val="0"/>
          <w:divBdr>
            <w:top w:val="none" w:sz="0" w:space="0" w:color="auto"/>
            <w:left w:val="none" w:sz="0" w:space="0" w:color="auto"/>
            <w:bottom w:val="none" w:sz="0" w:space="0" w:color="auto"/>
            <w:right w:val="none" w:sz="0" w:space="0" w:color="auto"/>
          </w:divBdr>
        </w:div>
        <w:div w:id="500775329">
          <w:marLeft w:val="0"/>
          <w:marRight w:val="0"/>
          <w:marTop w:val="0"/>
          <w:marBottom w:val="0"/>
          <w:divBdr>
            <w:top w:val="none" w:sz="0" w:space="0" w:color="auto"/>
            <w:left w:val="none" w:sz="0" w:space="0" w:color="auto"/>
            <w:bottom w:val="none" w:sz="0" w:space="0" w:color="auto"/>
            <w:right w:val="none" w:sz="0" w:space="0" w:color="auto"/>
          </w:divBdr>
        </w:div>
        <w:div w:id="1917781159">
          <w:marLeft w:val="0"/>
          <w:marRight w:val="0"/>
          <w:marTop w:val="0"/>
          <w:marBottom w:val="0"/>
          <w:divBdr>
            <w:top w:val="none" w:sz="0" w:space="0" w:color="auto"/>
            <w:left w:val="none" w:sz="0" w:space="0" w:color="auto"/>
            <w:bottom w:val="none" w:sz="0" w:space="0" w:color="auto"/>
            <w:right w:val="none" w:sz="0" w:space="0" w:color="auto"/>
          </w:divBdr>
        </w:div>
        <w:div w:id="297954934">
          <w:marLeft w:val="0"/>
          <w:marRight w:val="0"/>
          <w:marTop w:val="0"/>
          <w:marBottom w:val="0"/>
          <w:divBdr>
            <w:top w:val="none" w:sz="0" w:space="0" w:color="auto"/>
            <w:left w:val="none" w:sz="0" w:space="0" w:color="auto"/>
            <w:bottom w:val="none" w:sz="0" w:space="0" w:color="auto"/>
            <w:right w:val="none" w:sz="0" w:space="0" w:color="auto"/>
          </w:divBdr>
        </w:div>
        <w:div w:id="1313831682">
          <w:marLeft w:val="0"/>
          <w:marRight w:val="0"/>
          <w:marTop w:val="0"/>
          <w:marBottom w:val="0"/>
          <w:divBdr>
            <w:top w:val="none" w:sz="0" w:space="0" w:color="auto"/>
            <w:left w:val="none" w:sz="0" w:space="0" w:color="auto"/>
            <w:bottom w:val="none" w:sz="0" w:space="0" w:color="auto"/>
            <w:right w:val="none" w:sz="0" w:space="0" w:color="auto"/>
          </w:divBdr>
        </w:div>
        <w:div w:id="375859663">
          <w:marLeft w:val="0"/>
          <w:marRight w:val="0"/>
          <w:marTop w:val="0"/>
          <w:marBottom w:val="0"/>
          <w:divBdr>
            <w:top w:val="none" w:sz="0" w:space="0" w:color="auto"/>
            <w:left w:val="none" w:sz="0" w:space="0" w:color="auto"/>
            <w:bottom w:val="none" w:sz="0" w:space="0" w:color="auto"/>
            <w:right w:val="none" w:sz="0" w:space="0" w:color="auto"/>
          </w:divBdr>
        </w:div>
        <w:div w:id="206141420">
          <w:marLeft w:val="0"/>
          <w:marRight w:val="0"/>
          <w:marTop w:val="0"/>
          <w:marBottom w:val="0"/>
          <w:divBdr>
            <w:top w:val="none" w:sz="0" w:space="0" w:color="auto"/>
            <w:left w:val="none" w:sz="0" w:space="0" w:color="auto"/>
            <w:bottom w:val="none" w:sz="0" w:space="0" w:color="auto"/>
            <w:right w:val="none" w:sz="0" w:space="0" w:color="auto"/>
          </w:divBdr>
        </w:div>
        <w:div w:id="1180658768">
          <w:marLeft w:val="0"/>
          <w:marRight w:val="0"/>
          <w:marTop w:val="0"/>
          <w:marBottom w:val="0"/>
          <w:divBdr>
            <w:top w:val="none" w:sz="0" w:space="0" w:color="auto"/>
            <w:left w:val="none" w:sz="0" w:space="0" w:color="auto"/>
            <w:bottom w:val="none" w:sz="0" w:space="0" w:color="auto"/>
            <w:right w:val="none" w:sz="0" w:space="0" w:color="auto"/>
          </w:divBdr>
        </w:div>
        <w:div w:id="1706364969">
          <w:marLeft w:val="0"/>
          <w:marRight w:val="0"/>
          <w:marTop w:val="0"/>
          <w:marBottom w:val="0"/>
          <w:divBdr>
            <w:top w:val="none" w:sz="0" w:space="0" w:color="auto"/>
            <w:left w:val="none" w:sz="0" w:space="0" w:color="auto"/>
            <w:bottom w:val="none" w:sz="0" w:space="0" w:color="auto"/>
            <w:right w:val="none" w:sz="0" w:space="0" w:color="auto"/>
          </w:divBdr>
        </w:div>
        <w:div w:id="87240103">
          <w:marLeft w:val="0"/>
          <w:marRight w:val="0"/>
          <w:marTop w:val="0"/>
          <w:marBottom w:val="0"/>
          <w:divBdr>
            <w:top w:val="none" w:sz="0" w:space="0" w:color="auto"/>
            <w:left w:val="none" w:sz="0" w:space="0" w:color="auto"/>
            <w:bottom w:val="none" w:sz="0" w:space="0" w:color="auto"/>
            <w:right w:val="none" w:sz="0" w:space="0" w:color="auto"/>
          </w:divBdr>
        </w:div>
        <w:div w:id="1829049917">
          <w:marLeft w:val="0"/>
          <w:marRight w:val="0"/>
          <w:marTop w:val="0"/>
          <w:marBottom w:val="0"/>
          <w:divBdr>
            <w:top w:val="none" w:sz="0" w:space="0" w:color="auto"/>
            <w:left w:val="none" w:sz="0" w:space="0" w:color="auto"/>
            <w:bottom w:val="none" w:sz="0" w:space="0" w:color="auto"/>
            <w:right w:val="none" w:sz="0" w:space="0" w:color="auto"/>
          </w:divBdr>
        </w:div>
        <w:div w:id="1031489672">
          <w:marLeft w:val="0"/>
          <w:marRight w:val="0"/>
          <w:marTop w:val="0"/>
          <w:marBottom w:val="0"/>
          <w:divBdr>
            <w:top w:val="none" w:sz="0" w:space="0" w:color="auto"/>
            <w:left w:val="none" w:sz="0" w:space="0" w:color="auto"/>
            <w:bottom w:val="none" w:sz="0" w:space="0" w:color="auto"/>
            <w:right w:val="none" w:sz="0" w:space="0" w:color="auto"/>
          </w:divBdr>
        </w:div>
        <w:div w:id="636449936">
          <w:marLeft w:val="0"/>
          <w:marRight w:val="0"/>
          <w:marTop w:val="0"/>
          <w:marBottom w:val="0"/>
          <w:divBdr>
            <w:top w:val="none" w:sz="0" w:space="0" w:color="auto"/>
            <w:left w:val="none" w:sz="0" w:space="0" w:color="auto"/>
            <w:bottom w:val="none" w:sz="0" w:space="0" w:color="auto"/>
            <w:right w:val="none" w:sz="0" w:space="0" w:color="auto"/>
          </w:divBdr>
        </w:div>
        <w:div w:id="1637222584">
          <w:marLeft w:val="0"/>
          <w:marRight w:val="0"/>
          <w:marTop w:val="0"/>
          <w:marBottom w:val="0"/>
          <w:divBdr>
            <w:top w:val="none" w:sz="0" w:space="0" w:color="auto"/>
            <w:left w:val="none" w:sz="0" w:space="0" w:color="auto"/>
            <w:bottom w:val="none" w:sz="0" w:space="0" w:color="auto"/>
            <w:right w:val="none" w:sz="0" w:space="0" w:color="auto"/>
          </w:divBdr>
        </w:div>
        <w:div w:id="25586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1385</Words>
  <Characters>7899</Characters>
  <Application>Microsoft Office Word</Application>
  <DocSecurity>0</DocSecurity>
  <Lines>65</Lines>
  <Paragraphs>18</Paragraphs>
  <ScaleCrop>false</ScaleCrop>
  <Company>Microsoft</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cp:revision>
  <dcterms:created xsi:type="dcterms:W3CDTF">2019-05-21T01:52:00Z</dcterms:created>
  <dcterms:modified xsi:type="dcterms:W3CDTF">2019-05-21T01:54:00Z</dcterms:modified>
</cp:coreProperties>
</file>