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Look w:val="01E0"/>
      </w:tblPr>
      <w:tblGrid>
        <w:gridCol w:w="3724"/>
        <w:gridCol w:w="5996"/>
      </w:tblGrid>
      <w:tr w:rsidR="00B32FF6" w:rsidRPr="00F03783" w:rsidTr="00723060">
        <w:trPr>
          <w:trHeight w:val="851"/>
        </w:trPr>
        <w:tc>
          <w:tcPr>
            <w:tcW w:w="3724" w:type="dxa"/>
          </w:tcPr>
          <w:p w:rsidR="00B32FF6" w:rsidRPr="00F03783" w:rsidRDefault="00B32FF6" w:rsidP="00723060">
            <w:pPr>
              <w:pStyle w:val="BodyText"/>
              <w:spacing w:line="276" w:lineRule="auto"/>
              <w:jc w:val="center"/>
              <w:rPr>
                <w:bCs/>
                <w:sz w:val="26"/>
                <w:szCs w:val="26"/>
              </w:rPr>
            </w:pPr>
            <w:r w:rsidRPr="00F03783">
              <w:rPr>
                <w:sz w:val="26"/>
                <w:szCs w:val="26"/>
              </w:rPr>
              <w:t xml:space="preserve"> </w:t>
            </w:r>
            <w:r w:rsidRPr="00F03783">
              <w:rPr>
                <w:bCs/>
                <w:sz w:val="26"/>
                <w:szCs w:val="26"/>
              </w:rPr>
              <w:t>SỞ Y TẾ NGHỆ AN</w:t>
            </w:r>
          </w:p>
          <w:p w:rsidR="00B32FF6" w:rsidRPr="00EB329C" w:rsidRDefault="00B32FF6" w:rsidP="00723060">
            <w:pPr>
              <w:pStyle w:val="BodyText"/>
              <w:spacing w:line="276" w:lineRule="auto"/>
              <w:jc w:val="center"/>
              <w:rPr>
                <w:b/>
                <w:bCs/>
                <w:sz w:val="26"/>
                <w:szCs w:val="26"/>
              </w:rPr>
            </w:pPr>
            <w:r>
              <w:rPr>
                <w:b/>
                <w:bCs/>
                <w:noProof/>
                <w:sz w:val="26"/>
                <w:szCs w:val="26"/>
              </w:rPr>
              <w:pict>
                <v:line id="_x0000_s1026" style="position:absolute;left:0;text-align:left;z-index:251660288" from="61.2pt,17.3pt" to="106.2pt,17.3pt"/>
              </w:pict>
            </w:r>
            <w:r>
              <w:rPr>
                <w:b/>
                <w:bCs/>
                <w:noProof/>
                <w:sz w:val="26"/>
                <w:szCs w:val="26"/>
              </w:rPr>
              <w:t xml:space="preserve">TTYT </w:t>
            </w:r>
            <w:r w:rsidRPr="00EB329C">
              <w:rPr>
                <w:b/>
                <w:bCs/>
                <w:sz w:val="26"/>
                <w:szCs w:val="26"/>
              </w:rPr>
              <w:t xml:space="preserve">QUỲ CHÂU  </w:t>
            </w:r>
          </w:p>
        </w:tc>
        <w:tc>
          <w:tcPr>
            <w:tcW w:w="5996" w:type="dxa"/>
          </w:tcPr>
          <w:p w:rsidR="00B32FF6" w:rsidRPr="00F03783" w:rsidRDefault="00B32FF6" w:rsidP="00723060">
            <w:pPr>
              <w:pStyle w:val="BodyText"/>
              <w:spacing w:line="276" w:lineRule="auto"/>
              <w:jc w:val="center"/>
              <w:rPr>
                <w:b/>
                <w:bCs/>
                <w:sz w:val="26"/>
                <w:szCs w:val="26"/>
              </w:rPr>
            </w:pPr>
            <w:r w:rsidRPr="00F03783">
              <w:rPr>
                <w:b/>
                <w:bCs/>
                <w:sz w:val="26"/>
                <w:szCs w:val="26"/>
              </w:rPr>
              <w:t xml:space="preserve">CỘNG HÒA XÃ HỘI CHỦ NGHĨA VIỆT </w:t>
            </w:r>
            <w:smartTag w:uri="urn:schemas-microsoft-com:office:smarttags" w:element="place">
              <w:smartTag w:uri="urn:schemas-microsoft-com:office:smarttags" w:element="country-region">
                <w:r w:rsidRPr="00F03783">
                  <w:rPr>
                    <w:b/>
                    <w:bCs/>
                    <w:sz w:val="26"/>
                    <w:szCs w:val="26"/>
                  </w:rPr>
                  <w:t>NAM</w:t>
                </w:r>
              </w:smartTag>
            </w:smartTag>
          </w:p>
          <w:p w:rsidR="00B32FF6" w:rsidRPr="00F03783" w:rsidRDefault="00B32FF6" w:rsidP="00723060">
            <w:pPr>
              <w:pStyle w:val="BodyText"/>
              <w:spacing w:line="276" w:lineRule="auto"/>
              <w:jc w:val="center"/>
              <w:rPr>
                <w:b/>
                <w:bCs/>
                <w:sz w:val="26"/>
                <w:szCs w:val="26"/>
              </w:rPr>
            </w:pPr>
            <w:r w:rsidRPr="00D540ED">
              <w:rPr>
                <w:noProof/>
                <w:sz w:val="26"/>
                <w:szCs w:val="26"/>
              </w:rPr>
              <w:pict>
                <v:line id="_x0000_s1027" style="position:absolute;left:0;text-align:left;z-index:251661312" from="74.5pt,16.95pt" to="218.5pt,16.95pt"/>
              </w:pict>
            </w:r>
            <w:r w:rsidRPr="00F03783">
              <w:rPr>
                <w:b/>
                <w:sz w:val="26"/>
                <w:szCs w:val="26"/>
              </w:rPr>
              <w:t>Độc lập -  Tự do  -  Hạnh phúc</w:t>
            </w:r>
          </w:p>
        </w:tc>
      </w:tr>
    </w:tbl>
    <w:p w:rsidR="00B32FF6" w:rsidRDefault="00B32FF6" w:rsidP="00723060">
      <w:pPr>
        <w:pStyle w:val="BodyText"/>
        <w:spacing w:line="276" w:lineRule="auto"/>
        <w:rPr>
          <w:i/>
          <w:sz w:val="26"/>
          <w:szCs w:val="26"/>
        </w:rPr>
      </w:pPr>
      <w:r w:rsidRPr="00F03783">
        <w:rPr>
          <w:sz w:val="26"/>
          <w:szCs w:val="26"/>
        </w:rPr>
        <w:t xml:space="preserve">    Số:  </w:t>
      </w:r>
      <w:r>
        <w:rPr>
          <w:sz w:val="26"/>
          <w:szCs w:val="26"/>
        </w:rPr>
        <w:t xml:space="preserve">      </w:t>
      </w:r>
      <w:r w:rsidRPr="00F03783">
        <w:rPr>
          <w:sz w:val="26"/>
          <w:szCs w:val="26"/>
        </w:rPr>
        <w:t xml:space="preserve"> </w:t>
      </w:r>
      <w:r>
        <w:rPr>
          <w:sz w:val="26"/>
          <w:szCs w:val="26"/>
        </w:rPr>
        <w:t>/GTr</w:t>
      </w:r>
      <w:r w:rsidRPr="00F03783">
        <w:rPr>
          <w:sz w:val="26"/>
          <w:szCs w:val="26"/>
        </w:rPr>
        <w:t>-</w:t>
      </w:r>
      <w:r>
        <w:rPr>
          <w:sz w:val="26"/>
          <w:szCs w:val="26"/>
        </w:rPr>
        <w:t>TTYT</w:t>
      </w:r>
      <w:r w:rsidRPr="00F03783">
        <w:rPr>
          <w:sz w:val="26"/>
          <w:szCs w:val="26"/>
        </w:rPr>
        <w:t xml:space="preserve">                               </w:t>
      </w:r>
      <w:r>
        <w:rPr>
          <w:sz w:val="26"/>
          <w:szCs w:val="26"/>
        </w:rPr>
        <w:t xml:space="preserve">          </w:t>
      </w:r>
      <w:r>
        <w:rPr>
          <w:i/>
          <w:sz w:val="26"/>
          <w:szCs w:val="26"/>
        </w:rPr>
        <w:t>Qu</w:t>
      </w:r>
      <w:r w:rsidRPr="00A5579A">
        <w:rPr>
          <w:i/>
          <w:sz w:val="26"/>
          <w:szCs w:val="26"/>
        </w:rPr>
        <w:t>ỳ</w:t>
      </w:r>
      <w:r>
        <w:rPr>
          <w:i/>
          <w:sz w:val="26"/>
          <w:szCs w:val="26"/>
        </w:rPr>
        <w:t xml:space="preserve"> ch</w:t>
      </w:r>
      <w:r w:rsidRPr="00A5579A">
        <w:rPr>
          <w:i/>
          <w:sz w:val="26"/>
          <w:szCs w:val="26"/>
        </w:rPr>
        <w:t>â</w:t>
      </w:r>
      <w:r>
        <w:rPr>
          <w:i/>
          <w:sz w:val="26"/>
          <w:szCs w:val="26"/>
        </w:rPr>
        <w:t>u, ngày  30</w:t>
      </w:r>
      <w:r w:rsidRPr="00F03783">
        <w:rPr>
          <w:i/>
          <w:sz w:val="26"/>
          <w:szCs w:val="26"/>
        </w:rPr>
        <w:t xml:space="preserve">  tháng </w:t>
      </w:r>
      <w:r>
        <w:rPr>
          <w:i/>
          <w:sz w:val="26"/>
          <w:szCs w:val="26"/>
        </w:rPr>
        <w:t>5</w:t>
      </w:r>
      <w:r w:rsidRPr="00F03783">
        <w:rPr>
          <w:i/>
          <w:sz w:val="26"/>
          <w:szCs w:val="26"/>
        </w:rPr>
        <w:t xml:space="preserve"> năm 201</w:t>
      </w:r>
      <w:r>
        <w:rPr>
          <w:i/>
          <w:sz w:val="26"/>
          <w:szCs w:val="26"/>
        </w:rPr>
        <w:t>9</w:t>
      </w:r>
    </w:p>
    <w:p w:rsidR="00155F0A" w:rsidRPr="00723060" w:rsidRDefault="00B32FF6" w:rsidP="00723060">
      <w:pPr>
        <w:tabs>
          <w:tab w:val="left" w:pos="4678"/>
          <w:tab w:val="left" w:pos="4820"/>
        </w:tabs>
        <w:spacing w:after="0"/>
        <w:ind w:right="4682"/>
        <w:jc w:val="center"/>
        <w:rPr>
          <w:rFonts w:ascii="Times New Roman" w:hAnsi="Times New Roman" w:cs="Times New Roman"/>
          <w:sz w:val="26"/>
          <w:szCs w:val="26"/>
        </w:rPr>
      </w:pPr>
      <w:r w:rsidRPr="00723060">
        <w:rPr>
          <w:rFonts w:ascii="Times New Roman" w:hAnsi="Times New Roman" w:cs="Times New Roman"/>
          <w:sz w:val="26"/>
          <w:szCs w:val="26"/>
        </w:rPr>
        <w:t>V/v g</w:t>
      </w:r>
      <w:r w:rsidR="00155F0A" w:rsidRPr="00723060">
        <w:rPr>
          <w:rFonts w:ascii="Times New Roman" w:hAnsi="Times New Roman" w:cs="Times New Roman"/>
          <w:sz w:val="26"/>
          <w:szCs w:val="26"/>
        </w:rPr>
        <w:t>iải trình những nội dung liên quan thanh toán chi phí khám chữa bệnh bảo hiểm y tế quý 1 năm 2019</w:t>
      </w:r>
    </w:p>
    <w:p w:rsidR="00B32FF6" w:rsidRDefault="00B32FF6" w:rsidP="00723060">
      <w:pPr>
        <w:spacing w:after="0"/>
        <w:ind w:right="4"/>
        <w:jc w:val="center"/>
        <w:rPr>
          <w:rFonts w:ascii="Times New Roman" w:hAnsi="Times New Roman" w:cs="Times New Roman"/>
          <w:sz w:val="28"/>
          <w:szCs w:val="28"/>
        </w:rPr>
      </w:pPr>
    </w:p>
    <w:p w:rsidR="00B32FF6" w:rsidRDefault="00B32FF6" w:rsidP="00723060">
      <w:pPr>
        <w:spacing w:after="0"/>
        <w:ind w:right="4"/>
        <w:rPr>
          <w:rFonts w:ascii="Times New Roman" w:hAnsi="Times New Roman" w:cs="Times New Roman"/>
          <w:sz w:val="28"/>
          <w:szCs w:val="28"/>
        </w:rPr>
      </w:pPr>
      <w:r>
        <w:rPr>
          <w:rFonts w:ascii="Times New Roman" w:hAnsi="Times New Roman" w:cs="Times New Roman"/>
          <w:sz w:val="28"/>
          <w:szCs w:val="28"/>
        </w:rPr>
        <w:tab/>
        <w:t>Kính gửi:</w:t>
      </w:r>
    </w:p>
    <w:p w:rsidR="00B32FF6" w:rsidRDefault="00B32FF6" w:rsidP="00723060">
      <w:pPr>
        <w:spacing w:after="0"/>
        <w:ind w:left="1440" w:right="4" w:firstLine="720"/>
        <w:rPr>
          <w:rFonts w:ascii="Times New Roman" w:hAnsi="Times New Roman" w:cs="Times New Roman"/>
          <w:sz w:val="28"/>
          <w:szCs w:val="28"/>
        </w:rPr>
      </w:pPr>
      <w:r>
        <w:rPr>
          <w:rFonts w:ascii="Times New Roman" w:hAnsi="Times New Roman" w:cs="Times New Roman"/>
          <w:sz w:val="28"/>
          <w:szCs w:val="28"/>
        </w:rPr>
        <w:t xml:space="preserve"> Đoàn giám định chi phí KCB BHYT tại TTYT Quỳ Châu</w:t>
      </w:r>
    </w:p>
    <w:p w:rsidR="00B32FF6" w:rsidRDefault="00B32FF6" w:rsidP="00723060">
      <w:pPr>
        <w:spacing w:after="0"/>
        <w:ind w:right="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BHXH huyện Quỳ Châu</w:t>
      </w:r>
    </w:p>
    <w:p w:rsidR="00723060" w:rsidRPr="00B32FF6" w:rsidRDefault="00723060" w:rsidP="00723060">
      <w:pPr>
        <w:spacing w:after="0"/>
        <w:ind w:right="4"/>
        <w:rPr>
          <w:rFonts w:ascii="Times New Roman" w:hAnsi="Times New Roman" w:cs="Times New Roman"/>
          <w:sz w:val="28"/>
          <w:szCs w:val="28"/>
        </w:rPr>
      </w:pPr>
    </w:p>
    <w:p w:rsidR="00155F0A" w:rsidRDefault="00723060" w:rsidP="00723060">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Thực hiện </w:t>
      </w:r>
      <w:r w:rsidR="00155F0A" w:rsidRPr="008A32B6">
        <w:rPr>
          <w:rFonts w:ascii="Times New Roman" w:hAnsi="Times New Roman" w:cs="Times New Roman"/>
          <w:sz w:val="28"/>
          <w:szCs w:val="28"/>
        </w:rPr>
        <w:t xml:space="preserve">Công văn số </w:t>
      </w:r>
      <w:r w:rsidR="00155F0A">
        <w:rPr>
          <w:rFonts w:ascii="Times New Roman" w:hAnsi="Times New Roman" w:cs="Times New Roman"/>
          <w:sz w:val="28"/>
          <w:szCs w:val="28"/>
        </w:rPr>
        <w:t>1005</w:t>
      </w:r>
      <w:r w:rsidR="00155F0A" w:rsidRPr="008A32B6">
        <w:rPr>
          <w:rFonts w:ascii="Times New Roman" w:hAnsi="Times New Roman" w:cs="Times New Roman"/>
          <w:sz w:val="28"/>
          <w:szCs w:val="28"/>
        </w:rPr>
        <w:t>/BHXH-GĐBHYT ngày 0</w:t>
      </w:r>
      <w:r w:rsidR="00155F0A">
        <w:rPr>
          <w:rFonts w:ascii="Times New Roman" w:hAnsi="Times New Roman" w:cs="Times New Roman"/>
          <w:sz w:val="28"/>
          <w:szCs w:val="28"/>
        </w:rPr>
        <w:t>4</w:t>
      </w:r>
      <w:r w:rsidR="00155F0A" w:rsidRPr="008A32B6">
        <w:rPr>
          <w:rFonts w:ascii="Times New Roman" w:hAnsi="Times New Roman" w:cs="Times New Roman"/>
          <w:sz w:val="28"/>
          <w:szCs w:val="28"/>
        </w:rPr>
        <w:t xml:space="preserve"> tháng 5 năm 201</w:t>
      </w:r>
      <w:r w:rsidR="00155F0A">
        <w:rPr>
          <w:rFonts w:ascii="Times New Roman" w:hAnsi="Times New Roman" w:cs="Times New Roman"/>
          <w:sz w:val="28"/>
          <w:szCs w:val="28"/>
        </w:rPr>
        <w:t>9</w:t>
      </w:r>
      <w:r>
        <w:rPr>
          <w:rFonts w:ascii="Times New Roman" w:hAnsi="Times New Roman" w:cs="Times New Roman"/>
          <w:sz w:val="28"/>
          <w:szCs w:val="28"/>
        </w:rPr>
        <w:t xml:space="preserve"> của BHXH tỉnh Nghệ An về việc giám định các nội dung chưa đúng quy định trong thanh toán chi phí KCB BHYT Quý I năm 2019.</w:t>
      </w:r>
    </w:p>
    <w:p w:rsidR="00155F0A" w:rsidRPr="008A32B6" w:rsidRDefault="00155F0A" w:rsidP="00723060">
      <w:pPr>
        <w:spacing w:after="0"/>
        <w:ind w:firstLine="720"/>
        <w:jc w:val="both"/>
        <w:rPr>
          <w:rFonts w:ascii="Times New Roman" w:hAnsi="Times New Roman" w:cs="Times New Roman"/>
          <w:sz w:val="28"/>
          <w:szCs w:val="28"/>
        </w:rPr>
      </w:pPr>
      <w:r w:rsidRPr="008A32B6">
        <w:rPr>
          <w:rFonts w:ascii="Times New Roman" w:hAnsi="Times New Roman" w:cs="Times New Roman"/>
          <w:sz w:val="28"/>
          <w:szCs w:val="28"/>
        </w:rPr>
        <w:t xml:space="preserve">Sau khi có kết quả sơ bộ từ bộ phận giám định KCB BHYT, đơn vị TTYT Quỳ Châu đã rà soát, đối chiếu với những quy định, danh mục kỹ thuật do Bộ Y tế ban hành và có một số ý với </w:t>
      </w:r>
      <w:r>
        <w:rPr>
          <w:rFonts w:ascii="Times New Roman" w:hAnsi="Times New Roman" w:cs="Times New Roman"/>
          <w:sz w:val="28"/>
          <w:szCs w:val="28"/>
        </w:rPr>
        <w:t>những nội dung nh</w:t>
      </w:r>
      <w:r w:rsidRPr="008A32B6">
        <w:rPr>
          <w:rFonts w:ascii="Times New Roman" w:hAnsi="Times New Roman" w:cs="Times New Roman"/>
          <w:sz w:val="28"/>
          <w:szCs w:val="28"/>
        </w:rPr>
        <w:t>ư sau:</w:t>
      </w:r>
    </w:p>
    <w:p w:rsidR="009E1E7C" w:rsidRPr="00723060" w:rsidRDefault="00155F0A" w:rsidP="00723060">
      <w:pPr>
        <w:pStyle w:val="ListParagraph"/>
        <w:numPr>
          <w:ilvl w:val="0"/>
          <w:numId w:val="1"/>
        </w:numPr>
        <w:spacing w:after="0"/>
        <w:jc w:val="both"/>
        <w:rPr>
          <w:rFonts w:ascii="Times New Roman" w:hAnsi="Times New Roman" w:cs="Times New Roman"/>
          <w:b/>
          <w:sz w:val="28"/>
          <w:szCs w:val="28"/>
        </w:rPr>
      </w:pPr>
      <w:r w:rsidRPr="00723060">
        <w:rPr>
          <w:rFonts w:ascii="Times New Roman" w:hAnsi="Times New Roman" w:cs="Times New Roman"/>
          <w:b/>
          <w:sz w:val="28"/>
          <w:szCs w:val="28"/>
        </w:rPr>
        <w:t>Thuốc vượt tuyến chuyên môn kỹ thuật:</w:t>
      </w:r>
    </w:p>
    <w:p w:rsidR="00AA653F" w:rsidRDefault="00155F0A"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Trung tâm y tế Quỳ Châu bị từ chối thanh toán 85.521.000 đối với thuốc Combikit (Ticarcilin + Acid clavulanic)</w:t>
      </w:r>
      <w:r w:rsidR="00B93058">
        <w:rPr>
          <w:rFonts w:ascii="Times New Roman" w:hAnsi="Times New Roman" w:cs="Times New Roman"/>
          <w:sz w:val="28"/>
          <w:szCs w:val="28"/>
        </w:rPr>
        <w:t>. Đây là thuốc kháng sinh chỉ định sử dụng cho các trường hợp: Nhiễm khuẩn đường hô hấp trên &amp; dưới, da và mô mềm, tiết niệu &amp; sinh dục; viêm tủy, nhiễm khuẩn huyết, viêm phúc mạc, nhiễm khuẩn hỗn hợp sau phẫu thuật. Trong số 83 trường hợp có chỉ định sử dụng thuốc này đều hoàn toàn hợp lý theo chỉ đị</w:t>
      </w:r>
      <w:r w:rsidR="008251A4">
        <w:rPr>
          <w:rFonts w:ascii="Times New Roman" w:hAnsi="Times New Roman" w:cs="Times New Roman"/>
          <w:sz w:val="28"/>
          <w:szCs w:val="28"/>
        </w:rPr>
        <w:t xml:space="preserve">nh. </w:t>
      </w:r>
      <w:r w:rsidR="00B93058" w:rsidRPr="00B93058">
        <w:rPr>
          <w:rFonts w:ascii="Times New Roman" w:hAnsi="Times New Roman" w:cs="Times New Roman"/>
          <w:sz w:val="28"/>
          <w:szCs w:val="28"/>
        </w:rPr>
        <w:t xml:space="preserve">Theo thông tư </w:t>
      </w:r>
      <w:r w:rsidR="00AA653F">
        <w:rPr>
          <w:rFonts w:ascii="Times New Roman" w:hAnsi="Times New Roman" w:cs="Times New Roman"/>
          <w:sz w:val="28"/>
          <w:szCs w:val="28"/>
        </w:rPr>
        <w:t>s</w:t>
      </w:r>
      <w:r w:rsidR="00B93058" w:rsidRPr="00B93058">
        <w:rPr>
          <w:rFonts w:ascii="Times New Roman" w:hAnsi="Times New Roman" w:cs="Times New Roman"/>
          <w:sz w:val="28"/>
          <w:szCs w:val="28"/>
        </w:rPr>
        <w:t xml:space="preserve">ố: 30/2018/TT-BYT, </w:t>
      </w:r>
      <w:r w:rsidR="00B93058" w:rsidRPr="00B93058">
        <w:rPr>
          <w:rFonts w:ascii="Times New Roman" w:hAnsi="Times New Roman" w:cs="Times New Roman"/>
          <w:iCs/>
          <w:sz w:val="28"/>
          <w:szCs w:val="28"/>
        </w:rPr>
        <w:t>ngày 30 tháng 10 năm 2018: Thông tư ban hành danh mục và tỷ lệ, điều kiện thanh toán đối với thuốc hóa dược, sinh phẩm, thuốc phóng xạ</w:t>
      </w:r>
      <w:r w:rsidR="00B93058">
        <w:rPr>
          <w:rFonts w:ascii="Times New Roman" w:hAnsi="Times New Roman" w:cs="Times New Roman"/>
          <w:iCs/>
          <w:sz w:val="28"/>
          <w:szCs w:val="28"/>
        </w:rPr>
        <w:t xml:space="preserve"> và chất đánh dấu thuộc phạm vi được hưởng của người tham gia báo hiểm y tế</w:t>
      </w:r>
      <w:r w:rsidR="00AA653F">
        <w:rPr>
          <w:rFonts w:ascii="Times New Roman" w:hAnsi="Times New Roman" w:cs="Times New Roman"/>
          <w:iCs/>
          <w:sz w:val="28"/>
          <w:szCs w:val="28"/>
        </w:rPr>
        <w:t xml:space="preserve"> thì thuốc này quỹ BHYT chỉ thanh toán tại bệnh viện hạng đặc biệt, hạng I, II; bệnh viện chuyên khoa lao và bệnh phổi. Tuy nhiên cũng theo Thông tư này: tại mục 2. điều 7. Quy định chuyển tiếp: </w:t>
      </w:r>
      <w:r w:rsidR="00AA653F">
        <w:rPr>
          <w:rFonts w:ascii="Arial" w:hAnsi="Arial" w:cs="Arial"/>
          <w:sz w:val="20"/>
          <w:szCs w:val="20"/>
        </w:rPr>
        <w:t xml:space="preserve">. </w:t>
      </w:r>
      <w:r w:rsidR="00AA653F" w:rsidRPr="00AA653F">
        <w:rPr>
          <w:rFonts w:ascii="Arial" w:hAnsi="Arial" w:cs="Arial"/>
          <w:i/>
          <w:sz w:val="20"/>
          <w:szCs w:val="20"/>
        </w:rPr>
        <w:t>“</w:t>
      </w:r>
      <w:r w:rsidR="00AA653F" w:rsidRPr="00AA653F">
        <w:rPr>
          <w:rFonts w:ascii="Times New Roman" w:hAnsi="Times New Roman" w:cs="Times New Roman"/>
          <w:i/>
          <w:sz w:val="28"/>
          <w:szCs w:val="28"/>
        </w:rPr>
        <w:t xml:space="preserve">Đối với thuốc hoặc đường dùng, dạng dùng của thuốc thuộc phạm vi được hưởng của người tham gia bảo hiểm y tế theo quy định của Thông tư số 40/2014/TT-BYT, Thông tư số 36/2015/TT-BYT, Thông tư số 50/2017/T7-BYT mà không thuộc phạm vi được hưởng của người tham gia bảo hiểm y tế theo quy định của Thông tư này, hoặc thuốc bị thu hẹp hạng bệnh viện được sử dụng theo quy định tại Thông tư này, </w:t>
      </w:r>
      <w:r w:rsidR="00AA653F" w:rsidRPr="00AA653F">
        <w:rPr>
          <w:rFonts w:ascii="Times New Roman" w:hAnsi="Times New Roman" w:cs="Times New Roman"/>
          <w:b/>
          <w:i/>
          <w:sz w:val="28"/>
          <w:szCs w:val="28"/>
        </w:rPr>
        <w:t xml:space="preserve">Quỹ bảo hiểm y tế tiếp tục thanh toán cho cơ sở khám bệnh, chữa bệnh đến </w:t>
      </w:r>
      <w:r w:rsidR="00AA653F" w:rsidRPr="00AA653F">
        <w:rPr>
          <w:rFonts w:ascii="Times New Roman" w:hAnsi="Times New Roman" w:cs="Times New Roman"/>
          <w:b/>
          <w:i/>
          <w:sz w:val="28"/>
          <w:szCs w:val="28"/>
        </w:rPr>
        <w:lastRenderedPageBreak/>
        <w:t>khi sử dụng hết số thuốc đã trúng thầu theo kết quả lựa chọn nhà thầu cung ứng thuốc và đã được cơ sở khám bệnh, chữa bệnh ký hợp đồng cung ứng với nhà thầu trước ngày 01 tháng 01 năm 2019</w:t>
      </w:r>
      <w:r w:rsidR="00AA653F" w:rsidRPr="00AA653F">
        <w:rPr>
          <w:rFonts w:ascii="Times New Roman" w:hAnsi="Times New Roman" w:cs="Times New Roman"/>
          <w:i/>
          <w:sz w:val="28"/>
          <w:szCs w:val="28"/>
        </w:rPr>
        <w:t>”.</w:t>
      </w:r>
      <w:r w:rsidR="00AA653F">
        <w:rPr>
          <w:rFonts w:ascii="Times New Roman" w:hAnsi="Times New Roman" w:cs="Times New Roman"/>
          <w:i/>
          <w:sz w:val="28"/>
          <w:szCs w:val="28"/>
        </w:rPr>
        <w:t xml:space="preserve"> </w:t>
      </w:r>
      <w:r w:rsidR="00AA653F" w:rsidRPr="00AA653F">
        <w:rPr>
          <w:rFonts w:ascii="Times New Roman" w:hAnsi="Times New Roman" w:cs="Times New Roman"/>
          <w:sz w:val="28"/>
          <w:szCs w:val="28"/>
        </w:rPr>
        <w:t>Như vậy TTYT Quỳ Châu tiếp tục sử dụng thuốc này</w:t>
      </w:r>
      <w:r w:rsidR="00AA653F">
        <w:rPr>
          <w:rFonts w:ascii="Times New Roman" w:hAnsi="Times New Roman" w:cs="Times New Roman"/>
          <w:sz w:val="28"/>
          <w:szCs w:val="28"/>
        </w:rPr>
        <w:t xml:space="preserve"> trong quý 1/2019 </w:t>
      </w:r>
      <w:r w:rsidR="00AA653F" w:rsidRPr="00AA653F">
        <w:rPr>
          <w:rFonts w:ascii="Times New Roman" w:hAnsi="Times New Roman" w:cs="Times New Roman"/>
          <w:sz w:val="28"/>
          <w:szCs w:val="28"/>
        </w:rPr>
        <w:t>là hợp lý</w:t>
      </w:r>
      <w:r w:rsidR="00AA653F">
        <w:rPr>
          <w:rFonts w:ascii="Times New Roman" w:hAnsi="Times New Roman" w:cs="Times New Roman"/>
          <w:sz w:val="28"/>
          <w:szCs w:val="28"/>
        </w:rPr>
        <w:t xml:space="preserve">. </w:t>
      </w:r>
      <w:r w:rsidR="00D87839">
        <w:rPr>
          <w:rFonts w:ascii="Times New Roman" w:hAnsi="Times New Roman" w:cs="Times New Roman"/>
          <w:sz w:val="28"/>
          <w:szCs w:val="28"/>
        </w:rPr>
        <w:t>Hóa đơn, chứng từ nhập thuốc thể hiện:</w:t>
      </w:r>
    </w:p>
    <w:p w:rsidR="00D87839" w:rsidRPr="00D87839" w:rsidRDefault="00D87839"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87839">
        <w:rPr>
          <w:rFonts w:ascii="Times New Roman" w:hAnsi="Times New Roman" w:cs="Times New Roman"/>
          <w:sz w:val="28"/>
          <w:szCs w:val="28"/>
        </w:rPr>
        <w:t>Ngày 25/5/2018: nhập số lượng 1.500 lọ, số hóa đơn 362 (Công ty Minh Dân)</w:t>
      </w:r>
    </w:p>
    <w:p w:rsidR="00D87839" w:rsidRDefault="00D87839"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87839">
        <w:rPr>
          <w:rFonts w:ascii="Times New Roman" w:hAnsi="Times New Roman" w:cs="Times New Roman"/>
          <w:sz w:val="28"/>
          <w:szCs w:val="28"/>
        </w:rPr>
        <w:t>Ngày 30/11/2018: nhập số lượng 1.000 lọ, số hóa đơn 01213 (Công ty Minh Dân)</w:t>
      </w:r>
    </w:p>
    <w:p w:rsidR="00D87839" w:rsidRDefault="00D87839" w:rsidP="00723060">
      <w:pPr>
        <w:spacing w:after="0"/>
        <w:ind w:firstLine="720"/>
        <w:jc w:val="both"/>
        <w:rPr>
          <w:rFonts w:ascii="Times New Roman" w:hAnsi="Times New Roman" w:cs="Times New Roman"/>
          <w:sz w:val="28"/>
          <w:szCs w:val="28"/>
        </w:rPr>
      </w:pPr>
      <w:r w:rsidRPr="00723060">
        <w:rPr>
          <w:rFonts w:ascii="Times New Roman" w:hAnsi="Times New Roman" w:cs="Times New Roman"/>
          <w:b/>
          <w:sz w:val="28"/>
          <w:szCs w:val="28"/>
        </w:rPr>
        <w:t xml:space="preserve">2. </w:t>
      </w:r>
      <w:r w:rsidR="00762881" w:rsidRPr="00723060">
        <w:rPr>
          <w:rFonts w:ascii="Times New Roman" w:hAnsi="Times New Roman" w:cs="Times New Roman"/>
          <w:b/>
          <w:sz w:val="28"/>
          <w:szCs w:val="28"/>
        </w:rPr>
        <w:t>Thuốc Piperacillin</w:t>
      </w:r>
      <w:r w:rsidR="00762881">
        <w:rPr>
          <w:rFonts w:ascii="Times New Roman" w:hAnsi="Times New Roman" w:cs="Times New Roman"/>
          <w:sz w:val="28"/>
          <w:szCs w:val="28"/>
        </w:rPr>
        <w:t xml:space="preserve"> (sử dụng cả 2 loại hàm lượng 1 &amp; 2g): theo tờ hướng dẫn sử dụng </w:t>
      </w:r>
      <w:r w:rsidR="00477CAE">
        <w:rPr>
          <w:rFonts w:ascii="Times New Roman" w:hAnsi="Times New Roman" w:cs="Times New Roman"/>
          <w:sz w:val="28"/>
          <w:szCs w:val="28"/>
        </w:rPr>
        <w:t>kèm theo (loại 2g) Piperacillin được chỉ định cho các trường hợp:</w:t>
      </w:r>
    </w:p>
    <w:p w:rsidR="00477CAE" w:rsidRDefault="00477CAE"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Điều trị nhiễm khuẩn nặng, NK máu, NK đường hô hấp cấp và mạn, NK da và mô mềm, NK đường mật, bệnh lậu không biến chứng do cầu khuẩn lậu nhạy cảm penicilin</w:t>
      </w:r>
      <w:r w:rsidR="005B5E6F">
        <w:rPr>
          <w:rFonts w:ascii="Times New Roman" w:hAnsi="Times New Roman" w:cs="Times New Roman"/>
          <w:sz w:val="28"/>
          <w:szCs w:val="28"/>
        </w:rPr>
        <w:t xml:space="preserve"> và NK đường tiết niệu có biến chứng do các vi khuẩn nhạy cảm…</w:t>
      </w:r>
    </w:p>
    <w:p w:rsidR="005B5E6F" w:rsidRDefault="005B5E6F"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Nhiễm khuẩn sau phẫu thuật ổ bụng, tử cung</w:t>
      </w:r>
    </w:p>
    <w:p w:rsidR="00231203" w:rsidRDefault="00231203"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Loại 1g có thêm chỉ định:</w:t>
      </w:r>
    </w:p>
    <w:p w:rsidR="00231203" w:rsidRDefault="00231203"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Viêm khoang tai ngoài</w:t>
      </w:r>
    </w:p>
    <w:p w:rsidR="00231203" w:rsidRDefault="00231203"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Nhiễm khuẩn nhẹ hoặc không biến chứng</w:t>
      </w:r>
    </w:p>
    <w:p w:rsidR="00231203" w:rsidRDefault="00231203"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Phòng nhiễm khuẩn trhong phẫu thuật</w:t>
      </w:r>
    </w:p>
    <w:p w:rsidR="00231203" w:rsidRDefault="00231203"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Đối chiếu với những chỉ định trên thì hầu hết trong tổng số trường hợp bảo hiểm xuất toán là đúng chỉ định (những trường hợp này không nằm trong danh sách bệnh nhân nhẹ). Một vấn đề gây khó cho y tế là: bệnh nhân được chỉ định dùng thuốc viên thì BH cho là bệnh nhẹ, dùng thuốc tiêm thì cho là chưa cần thiết hoặc không phù hợp?.</w:t>
      </w:r>
    </w:p>
    <w:p w:rsidR="003929BE" w:rsidRPr="00723060" w:rsidRDefault="003929BE" w:rsidP="00723060">
      <w:pPr>
        <w:pStyle w:val="ListParagraph"/>
        <w:spacing w:after="0"/>
        <w:jc w:val="both"/>
        <w:rPr>
          <w:rFonts w:ascii="Times New Roman" w:hAnsi="Times New Roman" w:cs="Times New Roman"/>
          <w:b/>
          <w:sz w:val="28"/>
          <w:szCs w:val="28"/>
        </w:rPr>
      </w:pPr>
      <w:r w:rsidRPr="00723060">
        <w:rPr>
          <w:rFonts w:ascii="Times New Roman" w:hAnsi="Times New Roman" w:cs="Times New Roman"/>
          <w:b/>
          <w:sz w:val="28"/>
          <w:szCs w:val="28"/>
        </w:rPr>
        <w:t xml:space="preserve">3. </w:t>
      </w:r>
      <w:r w:rsidR="00111091" w:rsidRPr="00723060">
        <w:rPr>
          <w:rFonts w:ascii="Times New Roman" w:hAnsi="Times New Roman" w:cs="Times New Roman"/>
          <w:b/>
          <w:sz w:val="28"/>
          <w:szCs w:val="28"/>
        </w:rPr>
        <w:t>Những nội dung còn lại:</w:t>
      </w:r>
    </w:p>
    <w:p w:rsidR="00111091" w:rsidRDefault="00111091" w:rsidP="00723060">
      <w:pPr>
        <w:spacing w:after="0"/>
        <w:ind w:firstLine="720"/>
        <w:jc w:val="both"/>
        <w:rPr>
          <w:rFonts w:ascii="Times New Roman" w:hAnsi="Times New Roman" w:cs="Times New Roman"/>
          <w:sz w:val="28"/>
          <w:szCs w:val="28"/>
        </w:rPr>
      </w:pPr>
      <w:r w:rsidRPr="00111091">
        <w:rPr>
          <w:rFonts w:ascii="Times New Roman" w:hAnsi="Times New Roman" w:cs="Times New Roman"/>
          <w:sz w:val="28"/>
          <w:szCs w:val="28"/>
        </w:rPr>
        <w:t>- Có nhiều chỉ định xét nghiệm, chẩn đoán hình ảnh</w:t>
      </w:r>
      <w:r w:rsidR="00C477A2">
        <w:rPr>
          <w:rFonts w:ascii="Times New Roman" w:hAnsi="Times New Roman" w:cs="Times New Roman"/>
          <w:sz w:val="28"/>
          <w:szCs w:val="28"/>
        </w:rPr>
        <w:t>…</w:t>
      </w:r>
      <w:r w:rsidRPr="00111091">
        <w:rPr>
          <w:rFonts w:ascii="Times New Roman" w:hAnsi="Times New Roman" w:cs="Times New Roman"/>
          <w:sz w:val="28"/>
          <w:szCs w:val="28"/>
        </w:rPr>
        <w:t xml:space="preserve"> Bảo hiểm cảnh báo thanh toán, phía TTYT đã rà soát, giải trình nhưng phía BH vẫn từ chối thanh toán</w:t>
      </w:r>
      <w:r>
        <w:rPr>
          <w:rFonts w:ascii="Times New Roman" w:hAnsi="Times New Roman" w:cs="Times New Roman"/>
          <w:sz w:val="28"/>
          <w:szCs w:val="28"/>
        </w:rPr>
        <w:t xml:space="preserve">. Nếu TTYT không rà soát lại lần nữa thì BH xuất toán sai, việc rà soát lại nhiều lần lầm mất rất nhiều thời gian mà đáng ra dành cho công tác KCB. </w:t>
      </w:r>
    </w:p>
    <w:p w:rsidR="00111091" w:rsidRDefault="00111091"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Một số </w:t>
      </w:r>
      <w:r w:rsidR="00C477A2">
        <w:rPr>
          <w:rFonts w:ascii="Times New Roman" w:hAnsi="Times New Roman" w:cs="Times New Roman"/>
          <w:sz w:val="28"/>
          <w:szCs w:val="28"/>
        </w:rPr>
        <w:t>nội dung</w:t>
      </w:r>
      <w:r w:rsidR="004E2539">
        <w:rPr>
          <w:rFonts w:ascii="Times New Roman" w:hAnsi="Times New Roman" w:cs="Times New Roman"/>
          <w:sz w:val="28"/>
          <w:szCs w:val="28"/>
        </w:rPr>
        <w:t xml:space="preserve"> (</w:t>
      </w:r>
      <w:r w:rsidR="00C477A2">
        <w:rPr>
          <w:rFonts w:ascii="Times New Roman" w:hAnsi="Times New Roman" w:cs="Times New Roman"/>
          <w:sz w:val="28"/>
          <w:szCs w:val="28"/>
        </w:rPr>
        <w:t>Thực hiện t</w:t>
      </w:r>
      <w:r w:rsidR="004E2539">
        <w:rPr>
          <w:rFonts w:ascii="Times New Roman" w:hAnsi="Times New Roman" w:cs="Times New Roman"/>
          <w:sz w:val="28"/>
          <w:szCs w:val="28"/>
        </w:rPr>
        <w:t xml:space="preserve">heo Quy trình kỹ thuật chuyên ngành hóa sinh, </w:t>
      </w:r>
      <w:r w:rsidR="004E2539" w:rsidRPr="004E2539">
        <w:rPr>
          <w:rFonts w:ascii="Times New Roman" w:eastAsia="Times New Roman" w:hAnsi="Times New Roman"/>
          <w:sz w:val="28"/>
          <w:szCs w:val="28"/>
        </w:rPr>
        <w:t>Quyết định số: 320/QĐ-BYT ngày23 tháng 01 năm 2014 của Bộ trưởng Bộ Y tế</w:t>
      </w:r>
      <w:r w:rsidR="004E2539">
        <w:rPr>
          <w:rFonts w:ascii="Times New Roman" w:eastAsia="Times New Roman" w:hAnsi="Times New Roman"/>
          <w:sz w:val="28"/>
          <w:szCs w:val="28"/>
        </w:rPr>
        <w:t>)</w:t>
      </w:r>
      <w:r w:rsidR="00C477A2">
        <w:rPr>
          <w:rFonts w:ascii="Times New Roman" w:eastAsia="Times New Roman" w:hAnsi="Times New Roman"/>
          <w:sz w:val="28"/>
          <w:szCs w:val="28"/>
        </w:rPr>
        <w:t xml:space="preserve"> đề nghị giám định bảo hiểm kiểm tra lại</w:t>
      </w:r>
    </w:p>
    <w:p w:rsidR="00477CAE" w:rsidRDefault="004E2539"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11091" w:rsidRPr="004E2539">
        <w:rPr>
          <w:rFonts w:ascii="Times New Roman" w:hAnsi="Times New Roman" w:cs="Times New Roman"/>
          <w:sz w:val="28"/>
          <w:szCs w:val="28"/>
        </w:rPr>
        <w:t xml:space="preserve">Chỉ định xét nghiệm sinh hóa </w:t>
      </w:r>
      <w:r w:rsidRPr="004E2539">
        <w:rPr>
          <w:rFonts w:ascii="Times New Roman" w:hAnsi="Times New Roman" w:cs="Times New Roman"/>
          <w:sz w:val="28"/>
          <w:szCs w:val="28"/>
        </w:rPr>
        <w:t xml:space="preserve">Cholesterol: trong đó chỉ định cho những trường hợp bệnh nhân tăng huyết áp,… nhưng BH từu chối thanh toán. </w:t>
      </w:r>
      <w:r w:rsidR="00111091" w:rsidRPr="004E2539">
        <w:rPr>
          <w:rFonts w:ascii="Times New Roman" w:hAnsi="Times New Roman" w:cs="Times New Roman"/>
          <w:sz w:val="28"/>
          <w:szCs w:val="28"/>
        </w:rPr>
        <w:t xml:space="preserve"> </w:t>
      </w:r>
    </w:p>
    <w:p w:rsidR="005906BB" w:rsidRDefault="005906BB"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2768A">
        <w:rPr>
          <w:rFonts w:ascii="Times New Roman" w:hAnsi="Times New Roman" w:cs="Times New Roman"/>
          <w:sz w:val="28"/>
          <w:szCs w:val="28"/>
        </w:rPr>
        <w:t>GOT; GPT</w:t>
      </w:r>
      <w:r w:rsidR="008C268C">
        <w:rPr>
          <w:rFonts w:ascii="Times New Roman" w:hAnsi="Times New Roman" w:cs="Times New Roman"/>
          <w:sz w:val="28"/>
          <w:szCs w:val="28"/>
        </w:rPr>
        <w:t>: một số chỉ định phù hợp nhưng BH từ chối thanh toán</w:t>
      </w:r>
    </w:p>
    <w:p w:rsidR="00C477A2" w:rsidRDefault="00C477A2"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Định lượng Glucose: chỉ định với những bệnh nhân khó ở mệt mỏi, đau đầu, chóng mặt, ù tai (triệu chứng của các bệnh liên quan đái tháo đường, hạ đường huyết,…) là hợp lý.</w:t>
      </w:r>
    </w:p>
    <w:p w:rsidR="008C268C" w:rsidRDefault="008C268C"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Tổng phân tích nước tiể</w:t>
      </w:r>
      <w:r w:rsidR="002D50F3">
        <w:rPr>
          <w:rFonts w:ascii="Times New Roman" w:hAnsi="Times New Roman" w:cs="Times New Roman"/>
          <w:sz w:val="28"/>
          <w:szCs w:val="28"/>
        </w:rPr>
        <w:t>u</w:t>
      </w:r>
      <w:r w:rsidR="0073036B">
        <w:rPr>
          <w:rFonts w:ascii="Times New Roman" w:hAnsi="Times New Roman" w:cs="Times New Roman"/>
          <w:sz w:val="28"/>
          <w:szCs w:val="28"/>
        </w:rPr>
        <w:t>; Tổng phân tích tế bào máu</w:t>
      </w:r>
      <w:r w:rsidR="002D50F3">
        <w:rPr>
          <w:rFonts w:ascii="Times New Roman" w:hAnsi="Times New Roman" w:cs="Times New Roman"/>
          <w:sz w:val="28"/>
          <w:szCs w:val="28"/>
        </w:rPr>
        <w:t>; Tổng phân tích tế bào máu: nhiều trường hợp từ chối thanh toán không hợp lý</w:t>
      </w:r>
      <w:r w:rsidR="00FF1807">
        <w:rPr>
          <w:rFonts w:ascii="Times New Roman" w:hAnsi="Times New Roman" w:cs="Times New Roman"/>
          <w:sz w:val="28"/>
          <w:szCs w:val="28"/>
        </w:rPr>
        <w:t>.</w:t>
      </w:r>
    </w:p>
    <w:p w:rsidR="00FF1807" w:rsidRDefault="00FF1807" w:rsidP="00723060">
      <w:pPr>
        <w:spacing w:after="0"/>
        <w:ind w:firstLine="720"/>
        <w:jc w:val="both"/>
        <w:rPr>
          <w:rFonts w:ascii="Times New Roman" w:hAnsi="Times New Roman" w:cs="Times New Roman"/>
          <w:iCs/>
          <w:sz w:val="28"/>
          <w:szCs w:val="28"/>
        </w:rPr>
      </w:pPr>
      <w:r>
        <w:rPr>
          <w:rFonts w:ascii="Times New Roman" w:hAnsi="Times New Roman" w:cs="Times New Roman"/>
          <w:sz w:val="28"/>
          <w:szCs w:val="28"/>
        </w:rPr>
        <w:t xml:space="preserve">- XN định lượng Urê máu: từ chối thanh toán đối với những trường hợp tăng huyết áp là không hợp lý. Bệnh tăng huyết áp cũng là bệnh tim mạch mà theo </w:t>
      </w:r>
      <w:r w:rsidRPr="00B93058">
        <w:rPr>
          <w:rFonts w:ascii="Times New Roman" w:hAnsi="Times New Roman" w:cs="Times New Roman"/>
          <w:sz w:val="28"/>
          <w:szCs w:val="28"/>
        </w:rPr>
        <w:t xml:space="preserve"> thông tư </w:t>
      </w:r>
      <w:r>
        <w:rPr>
          <w:rFonts w:ascii="Times New Roman" w:hAnsi="Times New Roman" w:cs="Times New Roman"/>
          <w:sz w:val="28"/>
          <w:szCs w:val="28"/>
        </w:rPr>
        <w:t>s</w:t>
      </w:r>
      <w:r w:rsidRPr="00B93058">
        <w:rPr>
          <w:rFonts w:ascii="Times New Roman" w:hAnsi="Times New Roman" w:cs="Times New Roman"/>
          <w:sz w:val="28"/>
          <w:szCs w:val="28"/>
        </w:rPr>
        <w:t xml:space="preserve">ố: 30/2018/TT-BYT, </w:t>
      </w:r>
      <w:r w:rsidRPr="00B93058">
        <w:rPr>
          <w:rFonts w:ascii="Times New Roman" w:hAnsi="Times New Roman" w:cs="Times New Roman"/>
          <w:iCs/>
          <w:sz w:val="28"/>
          <w:szCs w:val="28"/>
        </w:rPr>
        <w:t>ngày 30 tháng 10 năm 2018</w:t>
      </w:r>
      <w:r>
        <w:rPr>
          <w:rFonts w:ascii="Times New Roman" w:hAnsi="Times New Roman" w:cs="Times New Roman"/>
          <w:iCs/>
          <w:sz w:val="28"/>
          <w:szCs w:val="28"/>
        </w:rPr>
        <w:t xml:space="preserve"> thì XN định lượng Urê máu áp dụng cho trong đó có các bệnh tim mạch.</w:t>
      </w:r>
    </w:p>
    <w:p w:rsidR="00FF1807" w:rsidRDefault="00C477A2"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 Siêu âm ổ bụng: bệnh nhân gãy xương cẳng chân phức tạp và đa tổn thương do tai nạn chỉ định siêu âm ổ bụng là hợp lý để loại trừ tổn thương chảy máu ổ bụng</w:t>
      </w:r>
    </w:p>
    <w:p w:rsidR="00C477A2" w:rsidRPr="004E2539" w:rsidRDefault="00C477A2" w:rsidP="00723060">
      <w:pPr>
        <w:spacing w:after="0"/>
        <w:ind w:firstLine="720"/>
        <w:jc w:val="both"/>
        <w:rPr>
          <w:rFonts w:ascii="Times New Roman" w:hAnsi="Times New Roman" w:cs="Times New Roman"/>
          <w:sz w:val="28"/>
          <w:szCs w:val="28"/>
        </w:rPr>
      </w:pPr>
      <w:r>
        <w:rPr>
          <w:rFonts w:ascii="Times New Roman" w:hAnsi="Times New Roman" w:cs="Times New Roman"/>
          <w:sz w:val="28"/>
          <w:szCs w:val="28"/>
        </w:rPr>
        <w:t>=&gt; các trường hợp còn lại thống nhất với bảo hiểm.</w:t>
      </w:r>
    </w:p>
    <w:p w:rsidR="00D87839" w:rsidRPr="00D87839" w:rsidRDefault="00D87839" w:rsidP="00723060">
      <w:pPr>
        <w:spacing w:after="0"/>
        <w:jc w:val="both"/>
        <w:rPr>
          <w:rFonts w:ascii="Times New Roman" w:hAnsi="Times New Roman" w:cs="Times New Roman"/>
          <w:sz w:val="28"/>
          <w:szCs w:val="28"/>
        </w:rPr>
      </w:pPr>
    </w:p>
    <w:tbl>
      <w:tblPr>
        <w:tblW w:w="0" w:type="auto"/>
        <w:tblLook w:val="04A0"/>
      </w:tblPr>
      <w:tblGrid>
        <w:gridCol w:w="4414"/>
        <w:gridCol w:w="5162"/>
      </w:tblGrid>
      <w:tr w:rsidR="00723060" w:rsidRPr="00A94A60" w:rsidTr="00D11927">
        <w:trPr>
          <w:trHeight w:val="1928"/>
        </w:trPr>
        <w:tc>
          <w:tcPr>
            <w:tcW w:w="4428" w:type="dxa"/>
          </w:tcPr>
          <w:p w:rsidR="00723060" w:rsidRPr="00A94A60" w:rsidRDefault="00723060" w:rsidP="00D11927">
            <w:pPr>
              <w:spacing w:after="0"/>
              <w:jc w:val="both"/>
              <w:rPr>
                <w:rFonts w:ascii="Times New Roman" w:hAnsi="Times New Roman" w:cs="Times New Roman"/>
                <w:b/>
                <w:i/>
                <w:sz w:val="28"/>
                <w:szCs w:val="28"/>
              </w:rPr>
            </w:pPr>
            <w:r w:rsidRPr="00A94A60">
              <w:rPr>
                <w:rFonts w:ascii="Times New Roman" w:hAnsi="Times New Roman" w:cs="Times New Roman"/>
                <w:b/>
                <w:i/>
                <w:sz w:val="28"/>
                <w:szCs w:val="28"/>
              </w:rPr>
              <w:t>Nơi nhận:</w:t>
            </w:r>
          </w:p>
          <w:p w:rsidR="00723060" w:rsidRPr="00E74D69" w:rsidRDefault="00723060" w:rsidP="00D11927">
            <w:pPr>
              <w:spacing w:after="0"/>
              <w:jc w:val="both"/>
              <w:rPr>
                <w:rFonts w:ascii="Times New Roman" w:hAnsi="Times New Roman" w:cs="Times New Roman"/>
                <w:sz w:val="24"/>
                <w:szCs w:val="24"/>
              </w:rPr>
            </w:pPr>
            <w:r w:rsidRPr="00E74D69">
              <w:rPr>
                <w:rFonts w:ascii="Times New Roman" w:hAnsi="Times New Roman" w:cs="Times New Roman"/>
                <w:sz w:val="24"/>
                <w:szCs w:val="24"/>
              </w:rPr>
              <w:t xml:space="preserve">- Như </w:t>
            </w:r>
            <w:r>
              <w:rPr>
                <w:rFonts w:ascii="Times New Roman" w:hAnsi="Times New Roman" w:cs="Times New Roman"/>
                <w:sz w:val="24"/>
                <w:szCs w:val="24"/>
              </w:rPr>
              <w:t>kính gửi</w:t>
            </w:r>
            <w:r w:rsidRPr="00E74D69">
              <w:rPr>
                <w:rFonts w:ascii="Times New Roman" w:hAnsi="Times New Roman" w:cs="Times New Roman"/>
                <w:sz w:val="24"/>
                <w:szCs w:val="24"/>
              </w:rPr>
              <w:t>;</w:t>
            </w:r>
          </w:p>
          <w:p w:rsidR="00723060" w:rsidRPr="00A94A60" w:rsidRDefault="00723060" w:rsidP="00D11927">
            <w:pPr>
              <w:spacing w:after="0"/>
              <w:jc w:val="both"/>
              <w:rPr>
                <w:rFonts w:ascii="Times New Roman" w:hAnsi="Times New Roman" w:cs="Times New Roman"/>
                <w:sz w:val="28"/>
                <w:szCs w:val="28"/>
              </w:rPr>
            </w:pPr>
            <w:r w:rsidRPr="00E74D69">
              <w:rPr>
                <w:rFonts w:ascii="Times New Roman" w:hAnsi="Times New Roman" w:cs="Times New Roman"/>
                <w:sz w:val="24"/>
                <w:szCs w:val="24"/>
              </w:rPr>
              <w:t>- Lưu: VT.</w:t>
            </w:r>
          </w:p>
        </w:tc>
        <w:tc>
          <w:tcPr>
            <w:tcW w:w="5178" w:type="dxa"/>
          </w:tcPr>
          <w:p w:rsidR="00723060" w:rsidRDefault="00723060" w:rsidP="00D1192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KT. </w:t>
            </w:r>
            <w:r w:rsidRPr="00A94A60">
              <w:rPr>
                <w:rFonts w:ascii="Times New Roman" w:hAnsi="Times New Roman" w:cs="Times New Roman"/>
                <w:b/>
                <w:sz w:val="28"/>
                <w:szCs w:val="28"/>
              </w:rPr>
              <w:t>GIÁM ĐỐC</w:t>
            </w:r>
          </w:p>
          <w:p w:rsidR="00723060" w:rsidRPr="00A94A60" w:rsidRDefault="00723060" w:rsidP="00D11927">
            <w:pPr>
              <w:spacing w:after="0"/>
              <w:jc w:val="center"/>
              <w:rPr>
                <w:rFonts w:ascii="Times New Roman" w:hAnsi="Times New Roman" w:cs="Times New Roman"/>
                <w:b/>
                <w:sz w:val="28"/>
                <w:szCs w:val="28"/>
              </w:rPr>
            </w:pPr>
            <w:r>
              <w:rPr>
                <w:rFonts w:ascii="Times New Roman" w:hAnsi="Times New Roman" w:cs="Times New Roman"/>
                <w:b/>
                <w:sz w:val="28"/>
                <w:szCs w:val="28"/>
              </w:rPr>
              <w:t>PHÓ GIÁM ĐỐC</w:t>
            </w:r>
          </w:p>
          <w:p w:rsidR="00723060" w:rsidRPr="00A94A60" w:rsidRDefault="00723060" w:rsidP="00D11927">
            <w:pPr>
              <w:spacing w:after="0"/>
              <w:jc w:val="center"/>
              <w:rPr>
                <w:rFonts w:ascii="Times New Roman" w:hAnsi="Times New Roman" w:cs="Times New Roman"/>
                <w:b/>
                <w:sz w:val="28"/>
                <w:szCs w:val="28"/>
              </w:rPr>
            </w:pPr>
          </w:p>
          <w:p w:rsidR="00723060" w:rsidRPr="00A94A60" w:rsidRDefault="00723060" w:rsidP="00D11927">
            <w:pPr>
              <w:spacing w:after="0"/>
              <w:jc w:val="center"/>
              <w:rPr>
                <w:rFonts w:ascii="Times New Roman" w:hAnsi="Times New Roman" w:cs="Times New Roman"/>
                <w:b/>
                <w:sz w:val="28"/>
                <w:szCs w:val="28"/>
              </w:rPr>
            </w:pPr>
          </w:p>
          <w:p w:rsidR="00723060" w:rsidRPr="00A94A60" w:rsidRDefault="00723060" w:rsidP="00D11927">
            <w:pPr>
              <w:spacing w:after="0"/>
              <w:jc w:val="center"/>
              <w:rPr>
                <w:rFonts w:ascii="Times New Roman" w:hAnsi="Times New Roman" w:cs="Times New Roman"/>
                <w:b/>
                <w:sz w:val="28"/>
                <w:szCs w:val="28"/>
              </w:rPr>
            </w:pPr>
          </w:p>
          <w:p w:rsidR="00723060" w:rsidRPr="00A94A60" w:rsidRDefault="00723060" w:rsidP="00D11927">
            <w:pPr>
              <w:spacing w:after="0"/>
              <w:jc w:val="center"/>
              <w:rPr>
                <w:rFonts w:ascii="Times New Roman" w:hAnsi="Times New Roman" w:cs="Times New Roman"/>
                <w:b/>
                <w:sz w:val="28"/>
                <w:szCs w:val="28"/>
              </w:rPr>
            </w:pPr>
          </w:p>
          <w:p w:rsidR="00723060" w:rsidRPr="00A94A60" w:rsidRDefault="00723060" w:rsidP="00D11927">
            <w:pPr>
              <w:spacing w:after="0"/>
              <w:jc w:val="center"/>
              <w:rPr>
                <w:rFonts w:ascii="Times New Roman" w:hAnsi="Times New Roman" w:cs="Times New Roman"/>
                <w:sz w:val="28"/>
                <w:szCs w:val="28"/>
              </w:rPr>
            </w:pPr>
            <w:r>
              <w:rPr>
                <w:rFonts w:ascii="Times New Roman" w:hAnsi="Times New Roman" w:cs="Times New Roman"/>
                <w:b/>
                <w:sz w:val="28"/>
                <w:szCs w:val="28"/>
              </w:rPr>
              <w:t>Lô Thanh Quý</w:t>
            </w:r>
          </w:p>
        </w:tc>
      </w:tr>
    </w:tbl>
    <w:p w:rsidR="00155F0A" w:rsidRPr="00155F0A" w:rsidRDefault="00155F0A" w:rsidP="00723060">
      <w:pPr>
        <w:spacing w:after="0"/>
        <w:rPr>
          <w:rFonts w:ascii="Times New Roman" w:hAnsi="Times New Roman" w:cs="Times New Roman"/>
          <w:sz w:val="28"/>
          <w:szCs w:val="28"/>
        </w:rPr>
      </w:pPr>
    </w:p>
    <w:sectPr w:rsidR="00155F0A" w:rsidRPr="00155F0A" w:rsidSect="009E1E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BC4"/>
    <w:multiLevelType w:val="hybridMultilevel"/>
    <w:tmpl w:val="CD0E48DC"/>
    <w:lvl w:ilvl="0" w:tplc="BD6425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C3551D"/>
    <w:multiLevelType w:val="hybridMultilevel"/>
    <w:tmpl w:val="1616BB10"/>
    <w:lvl w:ilvl="0" w:tplc="B31240D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163355"/>
    <w:multiLevelType w:val="hybridMultilevel"/>
    <w:tmpl w:val="9480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55F0A"/>
    <w:rsid w:val="00111091"/>
    <w:rsid w:val="0013400A"/>
    <w:rsid w:val="00155F0A"/>
    <w:rsid w:val="00231203"/>
    <w:rsid w:val="002D50F3"/>
    <w:rsid w:val="0030191F"/>
    <w:rsid w:val="003929BE"/>
    <w:rsid w:val="00477CAE"/>
    <w:rsid w:val="004E2539"/>
    <w:rsid w:val="005906BB"/>
    <w:rsid w:val="005B5E6F"/>
    <w:rsid w:val="0062768A"/>
    <w:rsid w:val="00723060"/>
    <w:rsid w:val="0073036B"/>
    <w:rsid w:val="00762881"/>
    <w:rsid w:val="008251A4"/>
    <w:rsid w:val="008C268C"/>
    <w:rsid w:val="009E1E7C"/>
    <w:rsid w:val="00AA653F"/>
    <w:rsid w:val="00B32FF6"/>
    <w:rsid w:val="00B93058"/>
    <w:rsid w:val="00C477A2"/>
    <w:rsid w:val="00CB7DEE"/>
    <w:rsid w:val="00D87839"/>
    <w:rsid w:val="00FF1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F0A"/>
    <w:pPr>
      <w:ind w:left="720"/>
      <w:contextualSpacing/>
    </w:pPr>
  </w:style>
  <w:style w:type="paragraph" w:styleId="BodyText">
    <w:name w:val="Body Text"/>
    <w:basedOn w:val="Normal"/>
    <w:link w:val="BodyTextChar"/>
    <w:rsid w:val="00B32FF6"/>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32FF6"/>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17478136">
      <w:bodyDiv w:val="1"/>
      <w:marLeft w:val="0"/>
      <w:marRight w:val="0"/>
      <w:marTop w:val="0"/>
      <w:marBottom w:val="0"/>
      <w:divBdr>
        <w:top w:val="none" w:sz="0" w:space="0" w:color="auto"/>
        <w:left w:val="none" w:sz="0" w:space="0" w:color="auto"/>
        <w:bottom w:val="none" w:sz="0" w:space="0" w:color="auto"/>
        <w:right w:val="none" w:sz="0" w:space="0" w:color="auto"/>
      </w:divBdr>
    </w:div>
    <w:div w:id="13800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8083-58FA-4748-AEF4-18FBE8BB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2019-05-29T02:19:00Z</dcterms:created>
  <dcterms:modified xsi:type="dcterms:W3CDTF">2019-05-30T03:39:00Z</dcterms:modified>
</cp:coreProperties>
</file>