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tblInd w:w="108" w:type="dxa"/>
        <w:tblCellMar>
          <w:left w:w="0" w:type="dxa"/>
          <w:right w:w="0" w:type="dxa"/>
        </w:tblCellMar>
        <w:tblLook w:val="04A0" w:firstRow="1" w:lastRow="0" w:firstColumn="1" w:lastColumn="0" w:noHBand="0" w:noVBand="1"/>
      </w:tblPr>
      <w:tblGrid>
        <w:gridCol w:w="4749"/>
        <w:gridCol w:w="5937"/>
      </w:tblGrid>
      <w:tr w:rsidR="00BF0ED7" w:rsidRPr="00BF0ED7" w:rsidTr="00BF0ED7">
        <w:trPr>
          <w:trHeight w:val="80"/>
        </w:trPr>
        <w:tc>
          <w:tcPr>
            <w:tcW w:w="2200" w:type="pct"/>
            <w:tcBorders>
              <w:top w:val="nil"/>
              <w:left w:val="nil"/>
              <w:bottom w:val="nil"/>
              <w:right w:val="nil"/>
            </w:tcBorders>
            <w:shd w:val="clear" w:color="auto" w:fill="auto"/>
            <w:tcMar>
              <w:top w:w="0" w:type="dxa"/>
              <w:left w:w="108" w:type="dxa"/>
              <w:bottom w:w="0" w:type="dxa"/>
              <w:right w:w="108" w:type="dxa"/>
            </w:tcMar>
            <w:hideMark/>
          </w:tcPr>
          <w:p w:rsidR="00BF0ED7" w:rsidRPr="00BF0ED7" w:rsidRDefault="00BF0ED7" w:rsidP="00BF0ED7">
            <w:pPr>
              <w:spacing w:before="100" w:beforeAutospacing="1" w:after="100" w:afterAutospacing="1" w:line="330" w:lineRule="atLeast"/>
              <w:jc w:val="center"/>
              <w:rPr>
                <w:rFonts w:ascii="Arial" w:eastAsia="Times New Roman" w:hAnsi="Arial" w:cs="Arial"/>
                <w:color w:val="333333"/>
                <w:szCs w:val="28"/>
              </w:rPr>
            </w:pPr>
            <w:r w:rsidRPr="00BF0ED7">
              <w:rPr>
                <w:rFonts w:ascii="Arial" w:eastAsia="Times New Roman" w:hAnsi="Arial" w:cs="Arial"/>
                <w:b/>
                <w:bCs/>
                <w:color w:val="333333"/>
                <w:szCs w:val="28"/>
              </w:rPr>
              <w:t>QUỐC HỘI</w:t>
            </w:r>
          </w:p>
          <w:p w:rsidR="00BF0ED7" w:rsidRPr="00BF0ED7" w:rsidRDefault="00BF0ED7" w:rsidP="00BF0ED7">
            <w:pPr>
              <w:spacing w:before="100" w:beforeAutospacing="1" w:after="100" w:afterAutospacing="1" w:line="330" w:lineRule="atLeast"/>
              <w:jc w:val="center"/>
              <w:rPr>
                <w:rFonts w:ascii="Arial" w:eastAsia="Times New Roman" w:hAnsi="Arial" w:cs="Arial"/>
                <w:color w:val="333333"/>
                <w:szCs w:val="28"/>
              </w:rPr>
            </w:pPr>
            <w:r w:rsidRPr="00BF0ED7">
              <w:rPr>
                <w:rFonts w:ascii="Arial" w:eastAsia="Times New Roman" w:hAnsi="Arial" w:cs="Arial"/>
                <w:b/>
                <w:bCs/>
                <w:color w:val="333333"/>
                <w:szCs w:val="28"/>
              </w:rPr>
              <w:t>-------------------</w:t>
            </w:r>
          </w:p>
          <w:p w:rsidR="00BF0ED7" w:rsidRPr="00BF0ED7" w:rsidRDefault="00BF0ED7" w:rsidP="00BF0ED7">
            <w:pPr>
              <w:spacing w:before="100" w:beforeAutospacing="1" w:after="100" w:afterAutospacing="1" w:line="80" w:lineRule="atLeast"/>
              <w:jc w:val="center"/>
              <w:rPr>
                <w:rFonts w:ascii="Arial" w:eastAsia="Times New Roman" w:hAnsi="Arial" w:cs="Arial"/>
                <w:color w:val="333333"/>
                <w:szCs w:val="28"/>
              </w:rPr>
            </w:pPr>
            <w:r w:rsidRPr="00BF0ED7">
              <w:rPr>
                <w:rFonts w:ascii="Arial" w:eastAsia="Times New Roman" w:hAnsi="Arial" w:cs="Arial"/>
                <w:color w:val="333333"/>
                <w:szCs w:val="28"/>
              </w:rPr>
              <w:t>Luật số: 10/2012/QH13</w:t>
            </w:r>
          </w:p>
        </w:tc>
        <w:tc>
          <w:tcPr>
            <w:tcW w:w="2750" w:type="pct"/>
            <w:tcBorders>
              <w:top w:val="nil"/>
              <w:left w:val="nil"/>
              <w:bottom w:val="nil"/>
              <w:right w:val="nil"/>
            </w:tcBorders>
            <w:shd w:val="clear" w:color="auto" w:fill="auto"/>
            <w:tcMar>
              <w:top w:w="0" w:type="dxa"/>
              <w:left w:w="108" w:type="dxa"/>
              <w:bottom w:w="0" w:type="dxa"/>
              <w:right w:w="108" w:type="dxa"/>
            </w:tcMar>
            <w:hideMark/>
          </w:tcPr>
          <w:p w:rsidR="00BF0ED7" w:rsidRPr="00BF0ED7" w:rsidRDefault="00BF0ED7" w:rsidP="00BF0ED7">
            <w:pPr>
              <w:spacing w:before="100" w:beforeAutospacing="1" w:after="100" w:afterAutospacing="1" w:line="330" w:lineRule="atLeast"/>
              <w:jc w:val="center"/>
              <w:rPr>
                <w:rFonts w:ascii="Arial" w:eastAsia="Times New Roman" w:hAnsi="Arial" w:cs="Arial"/>
                <w:color w:val="333333"/>
                <w:szCs w:val="28"/>
              </w:rPr>
            </w:pPr>
            <w:r w:rsidRPr="00BF0ED7">
              <w:rPr>
                <w:rFonts w:ascii="Arial" w:eastAsia="Times New Roman" w:hAnsi="Arial" w:cs="Arial"/>
                <w:b/>
                <w:bCs/>
                <w:color w:val="333333"/>
                <w:szCs w:val="28"/>
              </w:rPr>
              <w:t>CỘNG HOÀ XÃ HỘI CHỦ NGHĨA VIỆT NAM</w:t>
            </w:r>
          </w:p>
          <w:p w:rsidR="00BF0ED7" w:rsidRPr="00BF0ED7" w:rsidRDefault="00BF0ED7" w:rsidP="00BF0ED7">
            <w:pPr>
              <w:spacing w:before="100" w:beforeAutospacing="1" w:after="100" w:afterAutospacing="1" w:line="330" w:lineRule="atLeast"/>
              <w:jc w:val="center"/>
              <w:rPr>
                <w:rFonts w:ascii="Arial" w:eastAsia="Times New Roman" w:hAnsi="Arial" w:cs="Arial"/>
                <w:color w:val="333333"/>
                <w:szCs w:val="28"/>
              </w:rPr>
            </w:pPr>
            <w:r w:rsidRPr="00BF0ED7">
              <w:rPr>
                <w:rFonts w:ascii="Arial" w:eastAsia="Times New Roman" w:hAnsi="Arial" w:cs="Arial"/>
                <w:b/>
                <w:bCs/>
                <w:color w:val="333333"/>
                <w:szCs w:val="28"/>
              </w:rPr>
              <w:t>Độc lập - Tự do - Hạnh phúc</w:t>
            </w:r>
          </w:p>
          <w:p w:rsidR="00BF0ED7" w:rsidRPr="00BF0ED7" w:rsidRDefault="00BF0ED7" w:rsidP="00BF0ED7">
            <w:pPr>
              <w:spacing w:before="100" w:beforeAutospacing="1" w:after="100" w:afterAutospacing="1" w:line="80" w:lineRule="atLeast"/>
              <w:jc w:val="center"/>
              <w:rPr>
                <w:rFonts w:ascii="Arial" w:eastAsia="Times New Roman" w:hAnsi="Arial" w:cs="Arial"/>
                <w:color w:val="333333"/>
                <w:szCs w:val="28"/>
              </w:rPr>
            </w:pPr>
            <w:r w:rsidRPr="00BF0ED7">
              <w:rPr>
                <w:rFonts w:ascii="Arial" w:eastAsia="Times New Roman" w:hAnsi="Arial" w:cs="Arial"/>
                <w:b/>
                <w:bCs/>
                <w:color w:val="333333"/>
                <w:szCs w:val="28"/>
              </w:rPr>
              <w:t>--------------------</w:t>
            </w:r>
          </w:p>
        </w:tc>
      </w:tr>
    </w:tbl>
    <w:p w:rsidR="00BF0ED7" w:rsidRPr="00BF0ED7" w:rsidRDefault="00BF0ED7" w:rsidP="00BF0ED7">
      <w:pPr>
        <w:spacing w:after="0" w:line="330" w:lineRule="atLeast"/>
        <w:jc w:val="center"/>
        <w:rPr>
          <w:rFonts w:ascii="Arial" w:eastAsia="Times New Roman" w:hAnsi="Arial" w:cs="Arial"/>
          <w:color w:val="333333"/>
          <w:szCs w:val="28"/>
        </w:rPr>
      </w:pPr>
      <w:r w:rsidRPr="00BF0ED7">
        <w:rPr>
          <w:rFonts w:ascii="Arial" w:eastAsia="Times New Roman" w:hAnsi="Arial" w:cs="Arial"/>
          <w:b/>
          <w:bCs/>
          <w:color w:val="333333"/>
          <w:szCs w:val="28"/>
        </w:rPr>
        <w:t> </w:t>
      </w:r>
    </w:p>
    <w:p w:rsidR="00BF0ED7" w:rsidRDefault="00BF0ED7" w:rsidP="00BF0ED7">
      <w:pPr>
        <w:spacing w:after="0" w:line="330" w:lineRule="atLeast"/>
        <w:jc w:val="center"/>
        <w:rPr>
          <w:rFonts w:ascii="Arial" w:eastAsia="Times New Roman" w:hAnsi="Arial" w:cs="Arial"/>
          <w:b/>
          <w:bCs/>
          <w:color w:val="333333"/>
          <w:szCs w:val="28"/>
        </w:rPr>
      </w:pPr>
      <w:r w:rsidRPr="00BF0ED7">
        <w:rPr>
          <w:rFonts w:ascii="Arial" w:eastAsia="Times New Roman" w:hAnsi="Arial" w:cs="Arial"/>
          <w:b/>
          <w:bCs/>
          <w:color w:val="333333"/>
          <w:szCs w:val="28"/>
        </w:rPr>
        <w:t>BỘ LUẬT</w:t>
      </w:r>
      <w:r w:rsidRPr="00BF0ED7">
        <w:rPr>
          <w:rFonts w:ascii="Arial" w:eastAsia="Times New Roman" w:hAnsi="Arial" w:cs="Arial"/>
          <w:color w:val="333333"/>
          <w:szCs w:val="28"/>
        </w:rPr>
        <w:t xml:space="preserve"> </w:t>
      </w:r>
      <w:r w:rsidRPr="00BF0ED7">
        <w:rPr>
          <w:rFonts w:ascii="Arial" w:eastAsia="Times New Roman" w:hAnsi="Arial" w:cs="Arial"/>
          <w:b/>
          <w:bCs/>
          <w:color w:val="333333"/>
          <w:szCs w:val="28"/>
        </w:rPr>
        <w:t>LAO ĐỘNG</w:t>
      </w:r>
    </w:p>
    <w:p w:rsidR="00BF0ED7" w:rsidRPr="00BF0ED7" w:rsidRDefault="00BF0ED7" w:rsidP="00BF0ED7">
      <w:pPr>
        <w:spacing w:after="0" w:line="330" w:lineRule="atLeast"/>
        <w:rPr>
          <w:rFonts w:ascii="Arial" w:eastAsia="Times New Roman" w:hAnsi="Arial" w:cs="Arial"/>
          <w:color w:val="333333"/>
          <w:szCs w:val="28"/>
        </w:rPr>
      </w:pPr>
      <w:r>
        <w:rPr>
          <w:rFonts w:ascii="Arial" w:eastAsia="Times New Roman" w:hAnsi="Arial" w:cs="Arial"/>
          <w:b/>
          <w:bCs/>
          <w:color w:val="333333"/>
          <w:szCs w:val="28"/>
        </w:rPr>
        <w:t>………………..</w:t>
      </w:r>
    </w:p>
    <w:p w:rsidR="00BF0ED7" w:rsidRPr="00BF0ED7" w:rsidRDefault="00BF0ED7" w:rsidP="00BF0ED7">
      <w:pPr>
        <w:spacing w:after="0" w:line="330" w:lineRule="atLeast"/>
        <w:rPr>
          <w:rFonts w:ascii="Arial" w:eastAsia="Times New Roman" w:hAnsi="Arial" w:cs="Arial"/>
          <w:color w:val="333333"/>
          <w:szCs w:val="28"/>
        </w:rPr>
      </w:pPr>
      <w:r w:rsidRPr="00BF0ED7">
        <w:rPr>
          <w:rFonts w:ascii="Arial" w:eastAsia="Times New Roman" w:hAnsi="Arial" w:cs="Arial"/>
          <w:b/>
          <w:bCs/>
          <w:color w:val="333333"/>
          <w:szCs w:val="28"/>
        </w:rPr>
        <w:t>Mục 3. NGHỈ LỄ, NGHỈ VIỆC RIÊNG, NGHỈ KHÔNG HƯỞNG LƯƠNG</w:t>
      </w:r>
      <w:r w:rsidRPr="00BF0ED7">
        <w:rPr>
          <w:rFonts w:ascii="Arial" w:eastAsia="Times New Roman" w:hAnsi="Arial" w:cs="Arial"/>
          <w:color w:val="333333"/>
          <w:szCs w:val="28"/>
        </w:rPr>
        <w:br/>
      </w:r>
      <w:bookmarkStart w:id="0" w:name="_Toc231501661"/>
      <w:r w:rsidRPr="00BF0ED7">
        <w:rPr>
          <w:rFonts w:ascii="Arial" w:eastAsia="Times New Roman" w:hAnsi="Arial" w:cs="Arial"/>
          <w:b/>
          <w:bCs/>
          <w:color w:val="222222"/>
          <w:szCs w:val="28"/>
        </w:rPr>
        <w:t>Điều 115</w:t>
      </w:r>
      <w:bookmarkEnd w:id="0"/>
      <w:r w:rsidRPr="00BF0ED7">
        <w:rPr>
          <w:rFonts w:ascii="Arial" w:eastAsia="Times New Roman" w:hAnsi="Arial" w:cs="Arial"/>
          <w:color w:val="333333"/>
          <w:szCs w:val="28"/>
        </w:rPr>
        <w:t>. </w:t>
      </w:r>
      <w:r w:rsidRPr="00BF0ED7">
        <w:rPr>
          <w:rFonts w:ascii="Arial" w:eastAsia="Times New Roman" w:hAnsi="Arial" w:cs="Arial"/>
          <w:b/>
          <w:bCs/>
          <w:color w:val="333333"/>
          <w:szCs w:val="28"/>
        </w:rPr>
        <w:t>Nghỉ lễ, tết</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1. Người lao động được nghỉ làm việc, hưởng nguyên lương trong những ngày lễ, tết sau đây:</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a) Tết Dương lịch 01 ngày (ngày 01 tháng 01 dương lịch);</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b) Tết Âm lịch 05 ngày;</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c) Ngày Chiến thắng 01 ngày (ngày 30 tháng 4 dương lịch);</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d) Ngày Quốc tế lao động 01 ngày (ngày 01 tháng 5 dương lịch);</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đ) Ngày Quốc khánh 01 ngày (ngày 02 tháng 9 dương lịch);</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e) Ngày Giỗ Tổ Hùng Vương 01 ngày (ngày 10 tháng 3 âm lịch).</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2. Lao động là công dân nước ngoài làm việc tại Việt Nam ngoài ngày nghỉ lễ theo quy định tại khoản 1 Điều này còn được nghỉ thêm 01 ngày Tết cổ truyền dân tộc và 01 ngày Quốc khánh của nước họ.</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3. Nếu những ngày nghỉ theo quy định tại khoản 1 Điều này trùng vào ngày nghỉ hằng tuần, thì người lao động được nghỉ bù vào ngày kế tiếp.</w:t>
      </w:r>
    </w:p>
    <w:p w:rsidR="00BF0ED7" w:rsidRPr="00BF0ED7" w:rsidRDefault="00BF0ED7" w:rsidP="00BF0ED7">
      <w:pPr>
        <w:spacing w:after="120" w:line="330" w:lineRule="atLeast"/>
        <w:ind w:firstLine="720"/>
        <w:rPr>
          <w:rFonts w:ascii="Arial" w:eastAsia="Times New Roman" w:hAnsi="Arial" w:cs="Arial"/>
          <w:color w:val="333333"/>
          <w:szCs w:val="28"/>
        </w:rPr>
      </w:pPr>
      <w:bookmarkStart w:id="1" w:name="_Toc231501662"/>
      <w:r w:rsidRPr="00BF0ED7">
        <w:rPr>
          <w:rFonts w:ascii="Arial" w:eastAsia="Times New Roman" w:hAnsi="Arial" w:cs="Arial"/>
          <w:b/>
          <w:bCs/>
          <w:color w:val="222222"/>
          <w:szCs w:val="28"/>
        </w:rPr>
        <w:t>Điều 116. Nghỉ việc riêng</w:t>
      </w:r>
      <w:bookmarkEnd w:id="1"/>
      <w:r w:rsidRPr="00BF0ED7">
        <w:rPr>
          <w:rFonts w:ascii="Arial" w:eastAsia="Times New Roman" w:hAnsi="Arial" w:cs="Arial"/>
          <w:b/>
          <w:bCs/>
          <w:color w:val="333333"/>
          <w:szCs w:val="28"/>
        </w:rPr>
        <w:t>, nghỉ không hưởng lương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1. Người lao động được nghỉ việc riêng mà vẫn hưởng nguyên lương trong những trường hợp sau đây:</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a) Kết hôn: nghỉ 03 ngày;</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b) Con kết hôn: nghỉ 01 ngày;</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c) Bố đẻ, mẹ đẻ, bố vợ, mẹ vợ hoặc bố chồng, mẹ chồng chết; vợ chết hoặc chồng chết; con chết: nghỉ 03 ngày.</w:t>
      </w:r>
    </w:p>
    <w:p w:rsidR="00BF0ED7" w:rsidRPr="00BF0ED7" w:rsidRDefault="00BF0ED7" w:rsidP="00BF0ED7">
      <w:pPr>
        <w:spacing w:after="120" w:line="330" w:lineRule="atLeast"/>
        <w:ind w:firstLine="720"/>
        <w:rPr>
          <w:rFonts w:ascii="Arial" w:eastAsia="Times New Roman" w:hAnsi="Arial" w:cs="Arial"/>
          <w:color w:val="333333"/>
          <w:szCs w:val="28"/>
        </w:rPr>
      </w:pPr>
      <w:bookmarkStart w:id="2" w:name="_Toc231501663"/>
      <w:r w:rsidRPr="00BF0ED7">
        <w:rPr>
          <w:rFonts w:ascii="Arial" w:eastAsia="Times New Roman" w:hAnsi="Arial" w:cs="Arial"/>
          <w:color w:val="222222"/>
          <w:szCs w:val="28"/>
        </w:rPr>
        <w:t>2.</w:t>
      </w:r>
      <w:bookmarkEnd w:id="2"/>
      <w:r w:rsidRPr="00BF0ED7">
        <w:rPr>
          <w:rFonts w:ascii="Arial" w:eastAsia="Times New Roman" w:hAnsi="Arial" w:cs="Arial"/>
          <w:color w:val="333333"/>
          <w:szCs w:val="28"/>
        </w:rPr>
        <w:t> Người lao động được nghỉ không hưởng lương 01 ngày và phải thông báo với người sử dụng lao động khi ông nội, bà nội, ông ngoại, bà ngoại, anh, chị, em ruột chết; bố hoặc mẹ kết hôn; anh, chị, em ruột kết hôn.</w:t>
      </w:r>
    </w:p>
    <w:p w:rsid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3. Ngoài quy định tại khoản 1 và khoản 2 Điều này người lao động có thể thoả thuận với người sử dụng lao động để nghỉ không hưởng lương.</w:t>
      </w:r>
    </w:p>
    <w:p w:rsidR="00BF0ED7" w:rsidRPr="00BF0ED7" w:rsidRDefault="00BF0ED7" w:rsidP="00BF0ED7">
      <w:pPr>
        <w:spacing w:after="120" w:line="330" w:lineRule="atLeast"/>
        <w:ind w:firstLine="720"/>
        <w:rPr>
          <w:rFonts w:ascii="Arial" w:eastAsia="Times New Roman" w:hAnsi="Arial" w:cs="Arial"/>
          <w:color w:val="333333"/>
          <w:szCs w:val="28"/>
        </w:rPr>
      </w:pPr>
      <w:r>
        <w:rPr>
          <w:rFonts w:ascii="Arial" w:eastAsia="Times New Roman" w:hAnsi="Arial" w:cs="Arial"/>
          <w:color w:val="333333"/>
          <w:szCs w:val="28"/>
        </w:rPr>
        <w:t>………………….</w:t>
      </w:r>
    </w:p>
    <w:p w:rsidR="00785045" w:rsidRPr="00BF0ED7" w:rsidRDefault="00BF0ED7">
      <w:pPr>
        <w:rPr>
          <w:rFonts w:ascii="Arial" w:hAnsi="Arial" w:cs="Arial"/>
          <w:b/>
          <w:bCs/>
          <w:color w:val="333333"/>
          <w:szCs w:val="28"/>
          <w:shd w:val="clear" w:color="auto" w:fill="FFFFFF"/>
        </w:rPr>
      </w:pPr>
      <w:r w:rsidRPr="00BF0ED7">
        <w:rPr>
          <w:rFonts w:ascii="Arial" w:hAnsi="Arial" w:cs="Arial"/>
          <w:b/>
          <w:bCs/>
          <w:color w:val="333333"/>
          <w:szCs w:val="28"/>
          <w:shd w:val="clear" w:color="auto" w:fill="FFFFFF"/>
        </w:rPr>
        <w:t>CHƯƠNG X. NHỮNG QUY ĐỊNH RIÊNG ĐỐI VỚI LAO ĐỘNG NỮ</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b/>
          <w:bCs/>
          <w:color w:val="333333"/>
          <w:szCs w:val="28"/>
        </w:rPr>
        <w:lastRenderedPageBreak/>
        <w:t>Điều 155. Bảo vệ thai sản đối với lao động nữ</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1. Người sử dụng lao động không được sử dụng lao động nữ làm việc ban đêm, làm thêm giờ và đi công tác xa trong các trường hợp sau đây:</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a) Mang thai từ tháng thứ 07 hoặc từ tháng thứ 06 nếu làm việc ở vùng cao, vùng sâu, vùng xa, biên giới, hải đảo;</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b) Đang nuôi con dưới 12 tháng tuổi.</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2. Lao động nữ làm công việc nặng nhọc khi mang thai từ tháng thứ 07, được chuyển làm công việc nhẹ hơn hoặc được giảm bớt 01 giờ làm việc hằng ngày mà vẫn hưởng đủ lương.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4. Trong thời gian mang thai, nghỉ hưởng chế độ khi sinh con theo quy định của pháp luật về bảo hiểm xã hội, nuôi con dưới 12 tháng tuổi, lao động nữ không bị xử lý kỷ luật lao động.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5.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b/>
          <w:bCs/>
          <w:color w:val="333333"/>
          <w:szCs w:val="28"/>
        </w:rPr>
        <w:t>Điều 156. Quyền đơn phương chấm dứt, tạm hoãn hợp đồng lao động của lao động nữ mang thai</w:t>
      </w:r>
    </w:p>
    <w:p w:rsidR="00BF0ED7" w:rsidRPr="00BF0ED7" w:rsidRDefault="00BF0ED7" w:rsidP="00BF0ED7">
      <w:pPr>
        <w:spacing w:after="120" w:line="330" w:lineRule="atLeast"/>
        <w:ind w:firstLine="720"/>
        <w:jc w:val="both"/>
        <w:rPr>
          <w:rFonts w:ascii="Arial" w:eastAsia="Times New Roman" w:hAnsi="Arial" w:cs="Arial"/>
          <w:color w:val="333333"/>
          <w:szCs w:val="28"/>
        </w:rPr>
      </w:pPr>
      <w:r w:rsidRPr="00BF0ED7">
        <w:rPr>
          <w:rFonts w:ascii="Arial" w:eastAsia="Times New Roman" w:hAnsi="Arial" w:cs="Arial"/>
          <w:color w:val="333333"/>
          <w:szCs w:val="28"/>
        </w:rPr>
        <w:t>Lao động nữ mang thai nếu có xác nhận của cơ sở khám bệnh, chữa bệnh có thẩm quyền chứng nhận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BF0ED7" w:rsidRPr="00BF0ED7" w:rsidRDefault="00BF0ED7" w:rsidP="00BF0ED7">
      <w:pPr>
        <w:spacing w:after="120" w:line="330" w:lineRule="atLeast"/>
        <w:ind w:firstLine="720"/>
        <w:rPr>
          <w:rFonts w:ascii="Arial" w:eastAsia="Times New Roman" w:hAnsi="Arial" w:cs="Arial"/>
          <w:color w:val="333333"/>
          <w:szCs w:val="28"/>
        </w:rPr>
      </w:pPr>
      <w:bookmarkStart w:id="3" w:name="_Toc231501717"/>
      <w:r w:rsidRPr="00BF0ED7">
        <w:rPr>
          <w:rFonts w:ascii="Arial" w:eastAsia="Times New Roman" w:hAnsi="Arial" w:cs="Arial"/>
          <w:b/>
          <w:bCs/>
          <w:color w:val="222222"/>
          <w:szCs w:val="28"/>
        </w:rPr>
        <w:t>Điều 157. Nghỉ thai sản</w:t>
      </w:r>
      <w:bookmarkEnd w:id="3"/>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1. Lao động nữ được nghỉ trước và sau khi sinh con là 06 tháng.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Trường hợp lao động nữ sinh đôi trở lên thì tính từ con thứ 02 trở đi, cứ mỗi con, người mẹ được nghỉ thêm 01 tháng.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Thời gian nghỉ trước khi sinh tối đa không quá 02 tháng.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2. Trong thời gian nghỉ thai sản, lao động nữ được hưởng chế độ thai sản theo quy định của pháp luật về bảo hiểm xã hội.</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3. Hết thời gian nghỉ thai sản theo quy định tại khoản 1 Điều này, nếu có nhu cầu, lao động nữ có thể nghỉ thêm một thời gian không hưởng lương theo thoả thuận với người sử dụng lao động.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lastRenderedPageBreak/>
        <w:t>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Trong trường hợp này, ngoài tiền lương của những ngày làm việc do người sử dụng lao động trả, lao động nữ vẫn tiếp tục được hưởng trợ cấp thai sản theo quy định của pháp luật về bảo hiểm xã hội.</w:t>
      </w:r>
    </w:p>
    <w:p w:rsidR="00BF0ED7" w:rsidRPr="00BF0ED7" w:rsidRDefault="00BF0ED7" w:rsidP="00BF0ED7">
      <w:pPr>
        <w:spacing w:after="120" w:line="330" w:lineRule="atLeast"/>
        <w:ind w:firstLine="720"/>
        <w:rPr>
          <w:rFonts w:ascii="Arial" w:eastAsia="Times New Roman" w:hAnsi="Arial" w:cs="Arial"/>
          <w:color w:val="333333"/>
          <w:szCs w:val="28"/>
        </w:rPr>
      </w:pPr>
      <w:bookmarkStart w:id="4" w:name="_Toc231501718"/>
      <w:r w:rsidRPr="00BF0ED7">
        <w:rPr>
          <w:rFonts w:ascii="Arial" w:eastAsia="Times New Roman" w:hAnsi="Arial" w:cs="Arial"/>
          <w:b/>
          <w:bCs/>
          <w:color w:val="222222"/>
          <w:szCs w:val="28"/>
        </w:rPr>
        <w:t>Điều 158. Bảo đảm việc làm cho lao động nữ nghỉ thai sản</w:t>
      </w:r>
      <w:bookmarkEnd w:id="4"/>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pacing w:val="-4"/>
          <w:szCs w:val="28"/>
        </w:rPr>
        <w:t>Lao động nữ được bảo đảm việc làm cũ khi trở lại làm việc sau khi nghỉ hết thời gian theo quy định tại khoản 1 và khoản 3 Điều 157 của Bộ luật này; trường hợp việc làm cũ không còn thì người sử dụng lao động phải bố trí việc làm khác cho họ với mức lương không thấp hơn mức lương trước khi nghỉ thai sản.</w:t>
      </w:r>
    </w:p>
    <w:p w:rsidR="00BF0ED7" w:rsidRPr="00BF0ED7" w:rsidRDefault="00BF0ED7" w:rsidP="00BF0ED7">
      <w:pPr>
        <w:spacing w:after="120" w:line="330" w:lineRule="atLeast"/>
        <w:ind w:firstLine="720"/>
        <w:rPr>
          <w:rFonts w:ascii="Arial" w:eastAsia="Times New Roman" w:hAnsi="Arial" w:cs="Arial"/>
          <w:color w:val="333333"/>
          <w:szCs w:val="28"/>
        </w:rPr>
      </w:pPr>
      <w:bookmarkStart w:id="5" w:name="_Toc231501721"/>
      <w:r w:rsidRPr="00BF0ED7">
        <w:rPr>
          <w:rFonts w:ascii="Arial" w:eastAsia="Times New Roman" w:hAnsi="Arial" w:cs="Arial"/>
          <w:b/>
          <w:bCs/>
          <w:color w:val="222222"/>
          <w:szCs w:val="28"/>
        </w:rPr>
        <w:t>Điều 159. Trợ cấp khi nghỉ để chăm sóc con ốm, khám thai, thực hiện các biện pháp tránh thai</w:t>
      </w:r>
      <w:bookmarkEnd w:id="5"/>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Thời gian nghỉ việc khi khám thai, sẩy thai, nạo, hút thai, thai chết lưu, phá thai bệnh lý, thực hiện các biện pháp tránh thai, chăm sóc con dưới 07 tuổi ốm đau, nuôi con nuôi dưới 06 tháng tuổi, lao động nữ được hưởng trợ cấp bảo hiểm xã hội theo quy định của pháp luật về bảo hiểm xã hội.</w:t>
      </w:r>
    </w:p>
    <w:p w:rsidR="00BF0ED7" w:rsidRPr="00BF0ED7" w:rsidRDefault="00BF0ED7" w:rsidP="00BF0ED7">
      <w:pPr>
        <w:spacing w:after="120" w:line="330" w:lineRule="atLeast"/>
        <w:ind w:firstLine="720"/>
        <w:rPr>
          <w:rFonts w:ascii="Arial" w:eastAsia="Times New Roman" w:hAnsi="Arial" w:cs="Arial"/>
          <w:color w:val="333333"/>
          <w:szCs w:val="28"/>
        </w:rPr>
      </w:pPr>
      <w:bookmarkStart w:id="6" w:name="_Toc231501722"/>
      <w:r w:rsidRPr="00BF0ED7">
        <w:rPr>
          <w:rFonts w:ascii="Arial" w:eastAsia="Times New Roman" w:hAnsi="Arial" w:cs="Arial"/>
          <w:b/>
          <w:bCs/>
          <w:color w:val="222222"/>
          <w:szCs w:val="28"/>
        </w:rPr>
        <w:t>Điều 160. </w:t>
      </w:r>
      <w:bookmarkEnd w:id="6"/>
      <w:r w:rsidRPr="00BF0ED7">
        <w:rPr>
          <w:rFonts w:ascii="Arial" w:eastAsia="Times New Roman" w:hAnsi="Arial" w:cs="Arial"/>
          <w:b/>
          <w:bCs/>
          <w:color w:val="333333"/>
          <w:szCs w:val="28"/>
        </w:rPr>
        <w:t>Công việc không được sử dụng lao động nữ</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pacing w:val="-4"/>
          <w:szCs w:val="28"/>
        </w:rPr>
        <w:t>1. Công việc có ảnh hưởng xấu tới chức năng sinh đẻ và nuôi con theo danh mục do Bộ Lao động - Thương binh và Xã hội chủ trì phối hợp với Bộ Y tế ban hành.</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2. Công việc phải ngâm mình thường xuyên dưới nước.</w:t>
      </w:r>
    </w:p>
    <w:p w:rsidR="00BF0ED7" w:rsidRPr="00BF0ED7" w:rsidRDefault="00BF0ED7" w:rsidP="00BF0ED7">
      <w:pPr>
        <w:spacing w:after="120" w:line="330" w:lineRule="atLeast"/>
        <w:ind w:firstLine="720"/>
        <w:rPr>
          <w:rFonts w:ascii="Arial" w:eastAsia="Times New Roman" w:hAnsi="Arial" w:cs="Arial"/>
          <w:color w:val="333333"/>
          <w:szCs w:val="28"/>
        </w:rPr>
      </w:pPr>
      <w:r w:rsidRPr="00BF0ED7">
        <w:rPr>
          <w:rFonts w:ascii="Arial" w:eastAsia="Times New Roman" w:hAnsi="Arial" w:cs="Arial"/>
          <w:color w:val="333333"/>
          <w:szCs w:val="28"/>
        </w:rPr>
        <w:t>3. Công việc làm thường xuyên dưới hầm mỏ.</w:t>
      </w:r>
    </w:p>
    <w:p w:rsidR="00BF0ED7" w:rsidRPr="00BF0ED7" w:rsidRDefault="00BF0ED7">
      <w:pPr>
        <w:rPr>
          <w:szCs w:val="28"/>
        </w:rPr>
      </w:pPr>
      <w:r>
        <w:rPr>
          <w:szCs w:val="28"/>
        </w:rPr>
        <w:t>………………………………………….</w:t>
      </w:r>
      <w:bookmarkStart w:id="7" w:name="_GoBack"/>
      <w:bookmarkEnd w:id="7"/>
    </w:p>
    <w:sectPr w:rsidR="00BF0ED7" w:rsidRPr="00BF0ED7" w:rsidSect="00BF0ED7">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D7"/>
    <w:rsid w:val="00785045"/>
    <w:rsid w:val="00BF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muc3">
    <w:name w:val="demuc3"/>
    <w:basedOn w:val="DefaultParagraphFont"/>
    <w:rsid w:val="00BF0ED7"/>
  </w:style>
  <w:style w:type="character" w:customStyle="1" w:styleId="demuc4">
    <w:name w:val="demuc4"/>
    <w:basedOn w:val="DefaultParagraphFont"/>
    <w:rsid w:val="00BF0ED7"/>
  </w:style>
  <w:style w:type="character" w:styleId="Strong">
    <w:name w:val="Strong"/>
    <w:basedOn w:val="DefaultParagraphFont"/>
    <w:uiPriority w:val="22"/>
    <w:qFormat/>
    <w:rsid w:val="00BF0E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muc3">
    <w:name w:val="demuc3"/>
    <w:basedOn w:val="DefaultParagraphFont"/>
    <w:rsid w:val="00BF0ED7"/>
  </w:style>
  <w:style w:type="character" w:customStyle="1" w:styleId="demuc4">
    <w:name w:val="demuc4"/>
    <w:basedOn w:val="DefaultParagraphFont"/>
    <w:rsid w:val="00BF0ED7"/>
  </w:style>
  <w:style w:type="character" w:styleId="Strong">
    <w:name w:val="Strong"/>
    <w:basedOn w:val="DefaultParagraphFont"/>
    <w:uiPriority w:val="22"/>
    <w:qFormat/>
    <w:rsid w:val="00BF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39735">
      <w:bodyDiv w:val="1"/>
      <w:marLeft w:val="0"/>
      <w:marRight w:val="0"/>
      <w:marTop w:val="0"/>
      <w:marBottom w:val="0"/>
      <w:divBdr>
        <w:top w:val="none" w:sz="0" w:space="0" w:color="auto"/>
        <w:left w:val="none" w:sz="0" w:space="0" w:color="auto"/>
        <w:bottom w:val="none" w:sz="0" w:space="0" w:color="auto"/>
        <w:right w:val="none" w:sz="0" w:space="0" w:color="auto"/>
      </w:divBdr>
      <w:divsChild>
        <w:div w:id="1177958361">
          <w:marLeft w:val="0"/>
          <w:marRight w:val="0"/>
          <w:marTop w:val="0"/>
          <w:marBottom w:val="120"/>
          <w:divBdr>
            <w:top w:val="none" w:sz="0" w:space="0" w:color="auto"/>
            <w:left w:val="none" w:sz="0" w:space="0" w:color="auto"/>
            <w:bottom w:val="none" w:sz="0" w:space="0" w:color="auto"/>
            <w:right w:val="none" w:sz="0" w:space="0" w:color="auto"/>
          </w:divBdr>
        </w:div>
        <w:div w:id="645209622">
          <w:marLeft w:val="0"/>
          <w:marRight w:val="0"/>
          <w:marTop w:val="0"/>
          <w:marBottom w:val="120"/>
          <w:divBdr>
            <w:top w:val="none" w:sz="0" w:space="0" w:color="auto"/>
            <w:left w:val="none" w:sz="0" w:space="0" w:color="auto"/>
            <w:bottom w:val="none" w:sz="0" w:space="0" w:color="auto"/>
            <w:right w:val="none" w:sz="0" w:space="0" w:color="auto"/>
          </w:divBdr>
        </w:div>
        <w:div w:id="1122185334">
          <w:marLeft w:val="0"/>
          <w:marRight w:val="0"/>
          <w:marTop w:val="0"/>
          <w:marBottom w:val="120"/>
          <w:divBdr>
            <w:top w:val="none" w:sz="0" w:space="0" w:color="auto"/>
            <w:left w:val="none" w:sz="0" w:space="0" w:color="auto"/>
            <w:bottom w:val="none" w:sz="0" w:space="0" w:color="auto"/>
            <w:right w:val="none" w:sz="0" w:space="0" w:color="auto"/>
          </w:divBdr>
        </w:div>
        <w:div w:id="1079988024">
          <w:marLeft w:val="0"/>
          <w:marRight w:val="0"/>
          <w:marTop w:val="0"/>
          <w:marBottom w:val="120"/>
          <w:divBdr>
            <w:top w:val="none" w:sz="0" w:space="0" w:color="auto"/>
            <w:left w:val="none" w:sz="0" w:space="0" w:color="auto"/>
            <w:bottom w:val="none" w:sz="0" w:space="0" w:color="auto"/>
            <w:right w:val="none" w:sz="0" w:space="0" w:color="auto"/>
          </w:divBdr>
        </w:div>
        <w:div w:id="1176577524">
          <w:marLeft w:val="0"/>
          <w:marRight w:val="0"/>
          <w:marTop w:val="0"/>
          <w:marBottom w:val="120"/>
          <w:divBdr>
            <w:top w:val="none" w:sz="0" w:space="0" w:color="auto"/>
            <w:left w:val="none" w:sz="0" w:space="0" w:color="auto"/>
            <w:bottom w:val="none" w:sz="0" w:space="0" w:color="auto"/>
            <w:right w:val="none" w:sz="0" w:space="0" w:color="auto"/>
          </w:divBdr>
        </w:div>
        <w:div w:id="129833749">
          <w:marLeft w:val="0"/>
          <w:marRight w:val="0"/>
          <w:marTop w:val="0"/>
          <w:marBottom w:val="120"/>
          <w:divBdr>
            <w:top w:val="none" w:sz="0" w:space="0" w:color="auto"/>
            <w:left w:val="none" w:sz="0" w:space="0" w:color="auto"/>
            <w:bottom w:val="none" w:sz="0" w:space="0" w:color="auto"/>
            <w:right w:val="none" w:sz="0" w:space="0" w:color="auto"/>
          </w:divBdr>
        </w:div>
        <w:div w:id="2124374965">
          <w:marLeft w:val="0"/>
          <w:marRight w:val="0"/>
          <w:marTop w:val="0"/>
          <w:marBottom w:val="120"/>
          <w:divBdr>
            <w:top w:val="none" w:sz="0" w:space="0" w:color="auto"/>
            <w:left w:val="none" w:sz="0" w:space="0" w:color="auto"/>
            <w:bottom w:val="none" w:sz="0" w:space="0" w:color="auto"/>
            <w:right w:val="none" w:sz="0" w:space="0" w:color="auto"/>
          </w:divBdr>
        </w:div>
        <w:div w:id="787044911">
          <w:marLeft w:val="0"/>
          <w:marRight w:val="0"/>
          <w:marTop w:val="0"/>
          <w:marBottom w:val="120"/>
          <w:divBdr>
            <w:top w:val="none" w:sz="0" w:space="0" w:color="auto"/>
            <w:left w:val="none" w:sz="0" w:space="0" w:color="auto"/>
            <w:bottom w:val="none" w:sz="0" w:space="0" w:color="auto"/>
            <w:right w:val="none" w:sz="0" w:space="0" w:color="auto"/>
          </w:divBdr>
        </w:div>
        <w:div w:id="1931306480">
          <w:marLeft w:val="0"/>
          <w:marRight w:val="0"/>
          <w:marTop w:val="0"/>
          <w:marBottom w:val="120"/>
          <w:divBdr>
            <w:top w:val="none" w:sz="0" w:space="0" w:color="auto"/>
            <w:left w:val="none" w:sz="0" w:space="0" w:color="auto"/>
            <w:bottom w:val="none" w:sz="0" w:space="0" w:color="auto"/>
            <w:right w:val="none" w:sz="0" w:space="0" w:color="auto"/>
          </w:divBdr>
        </w:div>
        <w:div w:id="1134954249">
          <w:marLeft w:val="0"/>
          <w:marRight w:val="0"/>
          <w:marTop w:val="0"/>
          <w:marBottom w:val="120"/>
          <w:divBdr>
            <w:top w:val="none" w:sz="0" w:space="0" w:color="auto"/>
            <w:left w:val="none" w:sz="0" w:space="0" w:color="auto"/>
            <w:bottom w:val="none" w:sz="0" w:space="0" w:color="auto"/>
            <w:right w:val="none" w:sz="0" w:space="0" w:color="auto"/>
          </w:divBdr>
        </w:div>
        <w:div w:id="2144539656">
          <w:marLeft w:val="0"/>
          <w:marRight w:val="0"/>
          <w:marTop w:val="0"/>
          <w:marBottom w:val="120"/>
          <w:divBdr>
            <w:top w:val="none" w:sz="0" w:space="0" w:color="auto"/>
            <w:left w:val="none" w:sz="0" w:space="0" w:color="auto"/>
            <w:bottom w:val="none" w:sz="0" w:space="0" w:color="auto"/>
            <w:right w:val="none" w:sz="0" w:space="0" w:color="auto"/>
          </w:divBdr>
        </w:div>
        <w:div w:id="1946884172">
          <w:marLeft w:val="0"/>
          <w:marRight w:val="0"/>
          <w:marTop w:val="0"/>
          <w:marBottom w:val="120"/>
          <w:divBdr>
            <w:top w:val="none" w:sz="0" w:space="0" w:color="auto"/>
            <w:left w:val="none" w:sz="0" w:space="0" w:color="auto"/>
            <w:bottom w:val="none" w:sz="0" w:space="0" w:color="auto"/>
            <w:right w:val="none" w:sz="0" w:space="0" w:color="auto"/>
          </w:divBdr>
        </w:div>
        <w:div w:id="581911762">
          <w:marLeft w:val="0"/>
          <w:marRight w:val="0"/>
          <w:marTop w:val="0"/>
          <w:marBottom w:val="120"/>
          <w:divBdr>
            <w:top w:val="none" w:sz="0" w:space="0" w:color="auto"/>
            <w:left w:val="none" w:sz="0" w:space="0" w:color="auto"/>
            <w:bottom w:val="none" w:sz="0" w:space="0" w:color="auto"/>
            <w:right w:val="none" w:sz="0" w:space="0" w:color="auto"/>
          </w:divBdr>
        </w:div>
        <w:div w:id="1424842111">
          <w:marLeft w:val="0"/>
          <w:marRight w:val="0"/>
          <w:marTop w:val="0"/>
          <w:marBottom w:val="120"/>
          <w:divBdr>
            <w:top w:val="none" w:sz="0" w:space="0" w:color="auto"/>
            <w:left w:val="none" w:sz="0" w:space="0" w:color="auto"/>
            <w:bottom w:val="none" w:sz="0" w:space="0" w:color="auto"/>
            <w:right w:val="none" w:sz="0" w:space="0" w:color="auto"/>
          </w:divBdr>
        </w:div>
        <w:div w:id="134836517">
          <w:marLeft w:val="0"/>
          <w:marRight w:val="0"/>
          <w:marTop w:val="0"/>
          <w:marBottom w:val="120"/>
          <w:divBdr>
            <w:top w:val="none" w:sz="0" w:space="0" w:color="auto"/>
            <w:left w:val="none" w:sz="0" w:space="0" w:color="auto"/>
            <w:bottom w:val="none" w:sz="0" w:space="0" w:color="auto"/>
            <w:right w:val="none" w:sz="0" w:space="0" w:color="auto"/>
          </w:divBdr>
        </w:div>
        <w:div w:id="1221214699">
          <w:marLeft w:val="0"/>
          <w:marRight w:val="0"/>
          <w:marTop w:val="0"/>
          <w:marBottom w:val="120"/>
          <w:divBdr>
            <w:top w:val="none" w:sz="0" w:space="0" w:color="auto"/>
            <w:left w:val="none" w:sz="0" w:space="0" w:color="auto"/>
            <w:bottom w:val="none" w:sz="0" w:space="0" w:color="auto"/>
            <w:right w:val="none" w:sz="0" w:space="0" w:color="auto"/>
          </w:divBdr>
        </w:div>
        <w:div w:id="1966080389">
          <w:marLeft w:val="0"/>
          <w:marRight w:val="0"/>
          <w:marTop w:val="0"/>
          <w:marBottom w:val="120"/>
          <w:divBdr>
            <w:top w:val="none" w:sz="0" w:space="0" w:color="auto"/>
            <w:left w:val="none" w:sz="0" w:space="0" w:color="auto"/>
            <w:bottom w:val="none" w:sz="0" w:space="0" w:color="auto"/>
            <w:right w:val="none" w:sz="0" w:space="0" w:color="auto"/>
          </w:divBdr>
        </w:div>
        <w:div w:id="1123966165">
          <w:marLeft w:val="0"/>
          <w:marRight w:val="0"/>
          <w:marTop w:val="0"/>
          <w:marBottom w:val="120"/>
          <w:divBdr>
            <w:top w:val="none" w:sz="0" w:space="0" w:color="auto"/>
            <w:left w:val="none" w:sz="0" w:space="0" w:color="auto"/>
            <w:bottom w:val="none" w:sz="0" w:space="0" w:color="auto"/>
            <w:right w:val="none" w:sz="0" w:space="0" w:color="auto"/>
          </w:divBdr>
        </w:div>
        <w:div w:id="1745449053">
          <w:marLeft w:val="0"/>
          <w:marRight w:val="0"/>
          <w:marTop w:val="0"/>
          <w:marBottom w:val="120"/>
          <w:divBdr>
            <w:top w:val="none" w:sz="0" w:space="0" w:color="auto"/>
            <w:left w:val="none" w:sz="0" w:space="0" w:color="auto"/>
            <w:bottom w:val="none" w:sz="0" w:space="0" w:color="auto"/>
            <w:right w:val="none" w:sz="0" w:space="0" w:color="auto"/>
          </w:divBdr>
        </w:div>
        <w:div w:id="1482506281">
          <w:marLeft w:val="0"/>
          <w:marRight w:val="0"/>
          <w:marTop w:val="0"/>
          <w:marBottom w:val="120"/>
          <w:divBdr>
            <w:top w:val="none" w:sz="0" w:space="0" w:color="auto"/>
            <w:left w:val="none" w:sz="0" w:space="0" w:color="auto"/>
            <w:bottom w:val="none" w:sz="0" w:space="0" w:color="auto"/>
            <w:right w:val="none" w:sz="0" w:space="0" w:color="auto"/>
          </w:divBdr>
        </w:div>
        <w:div w:id="275916205">
          <w:marLeft w:val="0"/>
          <w:marRight w:val="0"/>
          <w:marTop w:val="0"/>
          <w:marBottom w:val="120"/>
          <w:divBdr>
            <w:top w:val="none" w:sz="0" w:space="0" w:color="auto"/>
            <w:left w:val="none" w:sz="0" w:space="0" w:color="auto"/>
            <w:bottom w:val="none" w:sz="0" w:space="0" w:color="auto"/>
            <w:right w:val="none" w:sz="0" w:space="0" w:color="auto"/>
          </w:divBdr>
        </w:div>
        <w:div w:id="1680498508">
          <w:marLeft w:val="0"/>
          <w:marRight w:val="0"/>
          <w:marTop w:val="0"/>
          <w:marBottom w:val="120"/>
          <w:divBdr>
            <w:top w:val="none" w:sz="0" w:space="0" w:color="auto"/>
            <w:left w:val="none" w:sz="0" w:space="0" w:color="auto"/>
            <w:bottom w:val="none" w:sz="0" w:space="0" w:color="auto"/>
            <w:right w:val="none" w:sz="0" w:space="0" w:color="auto"/>
          </w:divBdr>
        </w:div>
        <w:div w:id="289671794">
          <w:marLeft w:val="0"/>
          <w:marRight w:val="0"/>
          <w:marTop w:val="0"/>
          <w:marBottom w:val="120"/>
          <w:divBdr>
            <w:top w:val="none" w:sz="0" w:space="0" w:color="auto"/>
            <w:left w:val="none" w:sz="0" w:space="0" w:color="auto"/>
            <w:bottom w:val="none" w:sz="0" w:space="0" w:color="auto"/>
            <w:right w:val="none" w:sz="0" w:space="0" w:color="auto"/>
          </w:divBdr>
        </w:div>
        <w:div w:id="798303407">
          <w:marLeft w:val="0"/>
          <w:marRight w:val="0"/>
          <w:marTop w:val="0"/>
          <w:marBottom w:val="120"/>
          <w:divBdr>
            <w:top w:val="none" w:sz="0" w:space="0" w:color="auto"/>
            <w:left w:val="none" w:sz="0" w:space="0" w:color="auto"/>
            <w:bottom w:val="none" w:sz="0" w:space="0" w:color="auto"/>
            <w:right w:val="none" w:sz="0" w:space="0" w:color="auto"/>
          </w:divBdr>
        </w:div>
        <w:div w:id="1480922507">
          <w:marLeft w:val="0"/>
          <w:marRight w:val="0"/>
          <w:marTop w:val="0"/>
          <w:marBottom w:val="120"/>
          <w:divBdr>
            <w:top w:val="none" w:sz="0" w:space="0" w:color="auto"/>
            <w:left w:val="none" w:sz="0" w:space="0" w:color="auto"/>
            <w:bottom w:val="none" w:sz="0" w:space="0" w:color="auto"/>
            <w:right w:val="none" w:sz="0" w:space="0" w:color="auto"/>
          </w:divBdr>
        </w:div>
        <w:div w:id="2120298230">
          <w:marLeft w:val="0"/>
          <w:marRight w:val="0"/>
          <w:marTop w:val="0"/>
          <w:marBottom w:val="120"/>
          <w:divBdr>
            <w:top w:val="none" w:sz="0" w:space="0" w:color="auto"/>
            <w:left w:val="none" w:sz="0" w:space="0" w:color="auto"/>
            <w:bottom w:val="none" w:sz="0" w:space="0" w:color="auto"/>
            <w:right w:val="none" w:sz="0" w:space="0" w:color="auto"/>
          </w:divBdr>
        </w:div>
      </w:divsChild>
    </w:div>
    <w:div w:id="1940990427">
      <w:bodyDiv w:val="1"/>
      <w:marLeft w:val="0"/>
      <w:marRight w:val="0"/>
      <w:marTop w:val="0"/>
      <w:marBottom w:val="0"/>
      <w:divBdr>
        <w:top w:val="none" w:sz="0" w:space="0" w:color="auto"/>
        <w:left w:val="none" w:sz="0" w:space="0" w:color="auto"/>
        <w:bottom w:val="none" w:sz="0" w:space="0" w:color="auto"/>
        <w:right w:val="none" w:sz="0" w:space="0" w:color="auto"/>
      </w:divBdr>
      <w:divsChild>
        <w:div w:id="1894850301">
          <w:marLeft w:val="0"/>
          <w:marRight w:val="0"/>
          <w:marTop w:val="0"/>
          <w:marBottom w:val="120"/>
          <w:divBdr>
            <w:top w:val="none" w:sz="0" w:space="0" w:color="auto"/>
            <w:left w:val="none" w:sz="0" w:space="0" w:color="auto"/>
            <w:bottom w:val="none" w:sz="0" w:space="0" w:color="auto"/>
            <w:right w:val="none" w:sz="0" w:space="0" w:color="auto"/>
          </w:divBdr>
        </w:div>
        <w:div w:id="1379627989">
          <w:marLeft w:val="0"/>
          <w:marRight w:val="0"/>
          <w:marTop w:val="0"/>
          <w:marBottom w:val="120"/>
          <w:divBdr>
            <w:top w:val="none" w:sz="0" w:space="0" w:color="auto"/>
            <w:left w:val="none" w:sz="0" w:space="0" w:color="auto"/>
            <w:bottom w:val="none" w:sz="0" w:space="0" w:color="auto"/>
            <w:right w:val="none" w:sz="0" w:space="0" w:color="auto"/>
          </w:divBdr>
        </w:div>
        <w:div w:id="1716663705">
          <w:marLeft w:val="0"/>
          <w:marRight w:val="0"/>
          <w:marTop w:val="0"/>
          <w:marBottom w:val="120"/>
          <w:divBdr>
            <w:top w:val="none" w:sz="0" w:space="0" w:color="auto"/>
            <w:left w:val="none" w:sz="0" w:space="0" w:color="auto"/>
            <w:bottom w:val="none" w:sz="0" w:space="0" w:color="auto"/>
            <w:right w:val="none" w:sz="0" w:space="0" w:color="auto"/>
          </w:divBdr>
        </w:div>
        <w:div w:id="957025545">
          <w:marLeft w:val="0"/>
          <w:marRight w:val="0"/>
          <w:marTop w:val="0"/>
          <w:marBottom w:val="120"/>
          <w:divBdr>
            <w:top w:val="none" w:sz="0" w:space="0" w:color="auto"/>
            <w:left w:val="none" w:sz="0" w:space="0" w:color="auto"/>
            <w:bottom w:val="none" w:sz="0" w:space="0" w:color="auto"/>
            <w:right w:val="none" w:sz="0" w:space="0" w:color="auto"/>
          </w:divBdr>
        </w:div>
        <w:div w:id="764031078">
          <w:marLeft w:val="0"/>
          <w:marRight w:val="0"/>
          <w:marTop w:val="0"/>
          <w:marBottom w:val="120"/>
          <w:divBdr>
            <w:top w:val="none" w:sz="0" w:space="0" w:color="auto"/>
            <w:left w:val="none" w:sz="0" w:space="0" w:color="auto"/>
            <w:bottom w:val="none" w:sz="0" w:space="0" w:color="auto"/>
            <w:right w:val="none" w:sz="0" w:space="0" w:color="auto"/>
          </w:divBdr>
        </w:div>
        <w:div w:id="1534925450">
          <w:marLeft w:val="0"/>
          <w:marRight w:val="0"/>
          <w:marTop w:val="0"/>
          <w:marBottom w:val="120"/>
          <w:divBdr>
            <w:top w:val="none" w:sz="0" w:space="0" w:color="auto"/>
            <w:left w:val="none" w:sz="0" w:space="0" w:color="auto"/>
            <w:bottom w:val="none" w:sz="0" w:space="0" w:color="auto"/>
            <w:right w:val="none" w:sz="0" w:space="0" w:color="auto"/>
          </w:divBdr>
        </w:div>
        <w:div w:id="811871913">
          <w:marLeft w:val="0"/>
          <w:marRight w:val="0"/>
          <w:marTop w:val="0"/>
          <w:marBottom w:val="120"/>
          <w:divBdr>
            <w:top w:val="none" w:sz="0" w:space="0" w:color="auto"/>
            <w:left w:val="none" w:sz="0" w:space="0" w:color="auto"/>
            <w:bottom w:val="none" w:sz="0" w:space="0" w:color="auto"/>
            <w:right w:val="none" w:sz="0" w:space="0" w:color="auto"/>
          </w:divBdr>
        </w:div>
        <w:div w:id="705108390">
          <w:marLeft w:val="0"/>
          <w:marRight w:val="0"/>
          <w:marTop w:val="0"/>
          <w:marBottom w:val="120"/>
          <w:divBdr>
            <w:top w:val="none" w:sz="0" w:space="0" w:color="auto"/>
            <w:left w:val="none" w:sz="0" w:space="0" w:color="auto"/>
            <w:bottom w:val="none" w:sz="0" w:space="0" w:color="auto"/>
            <w:right w:val="none" w:sz="0" w:space="0" w:color="auto"/>
          </w:divBdr>
        </w:div>
        <w:div w:id="357121461">
          <w:marLeft w:val="0"/>
          <w:marRight w:val="0"/>
          <w:marTop w:val="0"/>
          <w:marBottom w:val="120"/>
          <w:divBdr>
            <w:top w:val="none" w:sz="0" w:space="0" w:color="auto"/>
            <w:left w:val="none" w:sz="0" w:space="0" w:color="auto"/>
            <w:bottom w:val="none" w:sz="0" w:space="0" w:color="auto"/>
            <w:right w:val="none" w:sz="0" w:space="0" w:color="auto"/>
          </w:divBdr>
        </w:div>
        <w:div w:id="1359551351">
          <w:marLeft w:val="0"/>
          <w:marRight w:val="0"/>
          <w:marTop w:val="0"/>
          <w:marBottom w:val="120"/>
          <w:divBdr>
            <w:top w:val="none" w:sz="0" w:space="0" w:color="auto"/>
            <w:left w:val="none" w:sz="0" w:space="0" w:color="auto"/>
            <w:bottom w:val="none" w:sz="0" w:space="0" w:color="auto"/>
            <w:right w:val="none" w:sz="0" w:space="0" w:color="auto"/>
          </w:divBdr>
        </w:div>
        <w:div w:id="1080562248">
          <w:marLeft w:val="0"/>
          <w:marRight w:val="0"/>
          <w:marTop w:val="0"/>
          <w:marBottom w:val="120"/>
          <w:divBdr>
            <w:top w:val="none" w:sz="0" w:space="0" w:color="auto"/>
            <w:left w:val="none" w:sz="0" w:space="0" w:color="auto"/>
            <w:bottom w:val="none" w:sz="0" w:space="0" w:color="auto"/>
            <w:right w:val="none" w:sz="0" w:space="0" w:color="auto"/>
          </w:divBdr>
        </w:div>
        <w:div w:id="1477187404">
          <w:marLeft w:val="0"/>
          <w:marRight w:val="0"/>
          <w:marTop w:val="0"/>
          <w:marBottom w:val="120"/>
          <w:divBdr>
            <w:top w:val="none" w:sz="0" w:space="0" w:color="auto"/>
            <w:left w:val="none" w:sz="0" w:space="0" w:color="auto"/>
            <w:bottom w:val="none" w:sz="0" w:space="0" w:color="auto"/>
            <w:right w:val="none" w:sz="0" w:space="0" w:color="auto"/>
          </w:divBdr>
        </w:div>
        <w:div w:id="1278827209">
          <w:marLeft w:val="0"/>
          <w:marRight w:val="0"/>
          <w:marTop w:val="0"/>
          <w:marBottom w:val="120"/>
          <w:divBdr>
            <w:top w:val="none" w:sz="0" w:space="0" w:color="auto"/>
            <w:left w:val="none" w:sz="0" w:space="0" w:color="auto"/>
            <w:bottom w:val="none" w:sz="0" w:space="0" w:color="auto"/>
            <w:right w:val="none" w:sz="0" w:space="0" w:color="auto"/>
          </w:divBdr>
        </w:div>
        <w:div w:id="1675186586">
          <w:marLeft w:val="0"/>
          <w:marRight w:val="0"/>
          <w:marTop w:val="0"/>
          <w:marBottom w:val="120"/>
          <w:divBdr>
            <w:top w:val="none" w:sz="0" w:space="0" w:color="auto"/>
            <w:left w:val="none" w:sz="0" w:space="0" w:color="auto"/>
            <w:bottom w:val="none" w:sz="0" w:space="0" w:color="auto"/>
            <w:right w:val="none" w:sz="0" w:space="0" w:color="auto"/>
          </w:divBdr>
        </w:div>
        <w:div w:id="351418075">
          <w:marLeft w:val="0"/>
          <w:marRight w:val="0"/>
          <w:marTop w:val="0"/>
          <w:marBottom w:val="120"/>
          <w:divBdr>
            <w:top w:val="none" w:sz="0" w:space="0" w:color="auto"/>
            <w:left w:val="none" w:sz="0" w:space="0" w:color="auto"/>
            <w:bottom w:val="none" w:sz="0" w:space="0" w:color="auto"/>
            <w:right w:val="none" w:sz="0" w:space="0" w:color="auto"/>
          </w:divBdr>
        </w:div>
        <w:div w:id="2013021942">
          <w:marLeft w:val="0"/>
          <w:marRight w:val="0"/>
          <w:marTop w:val="0"/>
          <w:marBottom w:val="120"/>
          <w:divBdr>
            <w:top w:val="none" w:sz="0" w:space="0" w:color="auto"/>
            <w:left w:val="none" w:sz="0" w:space="0" w:color="auto"/>
            <w:bottom w:val="none" w:sz="0" w:space="0" w:color="auto"/>
            <w:right w:val="none" w:sz="0" w:space="0" w:color="auto"/>
          </w:divBdr>
        </w:div>
        <w:div w:id="1874344176">
          <w:marLeft w:val="0"/>
          <w:marRight w:val="0"/>
          <w:marTop w:val="0"/>
          <w:marBottom w:val="120"/>
          <w:divBdr>
            <w:top w:val="none" w:sz="0" w:space="0" w:color="auto"/>
            <w:left w:val="none" w:sz="0" w:space="0" w:color="auto"/>
            <w:bottom w:val="none" w:sz="0" w:space="0" w:color="auto"/>
            <w:right w:val="none" w:sz="0" w:space="0" w:color="auto"/>
          </w:divBdr>
        </w:div>
      </w:divsChild>
    </w:div>
    <w:div w:id="19569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2019-05-10T01:42:00Z</dcterms:created>
  <dcterms:modified xsi:type="dcterms:W3CDTF">2019-05-10T01:47:00Z</dcterms:modified>
</cp:coreProperties>
</file>